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CD" w:rsidRPr="00112D21" w:rsidRDefault="00183613" w:rsidP="00233B59">
      <w:pPr>
        <w:jc w:val="center"/>
        <w:rPr>
          <w:rFonts w:ascii="Times New Roman" w:hAnsi="Times New Roman" w:cs="Times New Roman"/>
          <w:b/>
          <w:bCs/>
          <w:kern w:val="36"/>
          <w:sz w:val="28"/>
          <w:szCs w:val="28"/>
          <w:lang w:val="en-US"/>
        </w:rPr>
      </w:pPr>
      <w:r w:rsidRPr="00112D21">
        <w:rPr>
          <w:rFonts w:ascii="Times New Roman" w:hAnsi="Times New Roman" w:cs="Times New Roman"/>
          <w:b/>
          <w:bCs/>
          <w:kern w:val="36"/>
          <w:sz w:val="28"/>
          <w:szCs w:val="28"/>
          <w:lang w:val="en-US"/>
        </w:rPr>
        <w:t>Canada Fund f</w:t>
      </w:r>
      <w:r w:rsidR="001F4362" w:rsidRPr="00112D21">
        <w:rPr>
          <w:rFonts w:ascii="Times New Roman" w:hAnsi="Times New Roman" w:cs="Times New Roman"/>
          <w:b/>
          <w:bCs/>
          <w:kern w:val="36"/>
          <w:sz w:val="28"/>
          <w:szCs w:val="28"/>
          <w:lang w:val="en-US"/>
        </w:rPr>
        <w:t>or Local Initiatives (CFLI)</w:t>
      </w:r>
    </w:p>
    <w:p w:rsidR="008A0575" w:rsidRPr="00112D21" w:rsidRDefault="00BB692A" w:rsidP="00112D21">
      <w:pPr>
        <w:jc w:val="center"/>
        <w:rPr>
          <w:rFonts w:ascii="Times New Roman" w:hAnsi="Times New Roman" w:cs="Times New Roman"/>
          <w:b/>
          <w:bCs/>
          <w:kern w:val="36"/>
          <w:sz w:val="28"/>
          <w:szCs w:val="28"/>
          <w:lang w:val="en-US"/>
        </w:rPr>
      </w:pPr>
      <w:r w:rsidRPr="00112D21">
        <w:rPr>
          <w:rFonts w:ascii="Times New Roman" w:hAnsi="Times New Roman" w:cs="Times New Roman"/>
          <w:b/>
          <w:bCs/>
          <w:kern w:val="36"/>
          <w:sz w:val="28"/>
          <w:szCs w:val="28"/>
          <w:lang w:val="en-US"/>
        </w:rPr>
        <w:t xml:space="preserve">First Round Preliminary </w:t>
      </w:r>
      <w:r w:rsidR="00112D21">
        <w:rPr>
          <w:rFonts w:ascii="Times New Roman" w:hAnsi="Times New Roman" w:cs="Times New Roman"/>
          <w:b/>
          <w:bCs/>
          <w:kern w:val="36"/>
          <w:sz w:val="28"/>
          <w:szCs w:val="28"/>
          <w:lang w:val="en-US"/>
        </w:rPr>
        <w:t>Call for P</w:t>
      </w:r>
      <w:r w:rsidR="002965CD" w:rsidRPr="00112D21">
        <w:rPr>
          <w:rFonts w:ascii="Times New Roman" w:hAnsi="Times New Roman" w:cs="Times New Roman"/>
          <w:b/>
          <w:bCs/>
          <w:kern w:val="36"/>
          <w:sz w:val="28"/>
          <w:szCs w:val="28"/>
          <w:lang w:val="en-US"/>
        </w:rPr>
        <w:t xml:space="preserve">roposals for </w:t>
      </w:r>
      <w:r w:rsidR="001F4362" w:rsidRPr="00112D21">
        <w:rPr>
          <w:rFonts w:ascii="Times New Roman" w:hAnsi="Times New Roman" w:cs="Times New Roman"/>
          <w:b/>
          <w:bCs/>
          <w:kern w:val="36"/>
          <w:sz w:val="28"/>
          <w:szCs w:val="28"/>
          <w:lang w:val="en-US"/>
        </w:rPr>
        <w:t>20</w:t>
      </w:r>
      <w:r w:rsidR="00BD659F" w:rsidRPr="00112D21">
        <w:rPr>
          <w:rFonts w:ascii="Times New Roman" w:hAnsi="Times New Roman" w:cs="Times New Roman"/>
          <w:b/>
          <w:bCs/>
          <w:kern w:val="36"/>
          <w:sz w:val="28"/>
          <w:szCs w:val="28"/>
          <w:lang w:val="en-US"/>
        </w:rPr>
        <w:t>16</w:t>
      </w:r>
      <w:r w:rsidR="00AD7851" w:rsidRPr="00112D21">
        <w:rPr>
          <w:rFonts w:ascii="Times New Roman" w:hAnsi="Times New Roman" w:cs="Times New Roman"/>
          <w:b/>
          <w:bCs/>
          <w:kern w:val="36"/>
          <w:sz w:val="28"/>
          <w:szCs w:val="28"/>
          <w:lang w:val="en-US"/>
        </w:rPr>
        <w:t xml:space="preserve"> </w:t>
      </w:r>
      <w:r w:rsidR="003E38AB" w:rsidRPr="00112D21">
        <w:rPr>
          <w:rFonts w:ascii="Times New Roman" w:hAnsi="Times New Roman" w:cs="Times New Roman"/>
          <w:b/>
          <w:bCs/>
          <w:kern w:val="36"/>
          <w:sz w:val="28"/>
          <w:szCs w:val="28"/>
          <w:lang w:val="en-US"/>
        </w:rPr>
        <w:t>in</w:t>
      </w:r>
      <w:r w:rsidR="008A0575" w:rsidRPr="00112D21">
        <w:rPr>
          <w:rFonts w:ascii="Times New Roman" w:hAnsi="Times New Roman" w:cs="Times New Roman"/>
          <w:b/>
          <w:bCs/>
          <w:kern w:val="36"/>
          <w:sz w:val="28"/>
          <w:szCs w:val="28"/>
          <w:lang w:val="en-US"/>
        </w:rPr>
        <w:t xml:space="preserve"> Kazakhstan, the Kyrgyz Republic</w:t>
      </w:r>
      <w:r w:rsidR="00183613" w:rsidRPr="00112D21">
        <w:rPr>
          <w:rFonts w:ascii="Times New Roman" w:hAnsi="Times New Roman" w:cs="Times New Roman"/>
          <w:b/>
          <w:bCs/>
          <w:kern w:val="36"/>
          <w:sz w:val="28"/>
          <w:szCs w:val="28"/>
          <w:lang w:val="en-US"/>
        </w:rPr>
        <w:t>, and Tajikistan</w:t>
      </w:r>
    </w:p>
    <w:p w:rsidR="00535664" w:rsidRDefault="00535664">
      <w:pPr>
        <w:rPr>
          <w:rFonts w:ascii="Times New Roman" w:hAnsi="Times New Roman" w:cs="Times New Roman"/>
          <w:b/>
          <w:sz w:val="24"/>
          <w:szCs w:val="24"/>
          <w:lang w:val="en-US"/>
        </w:rPr>
      </w:pPr>
    </w:p>
    <w:p w:rsidR="00183613" w:rsidRPr="00F64262" w:rsidRDefault="002B2BB3" w:rsidP="00112D21">
      <w:pPr>
        <w:spacing w:after="0"/>
        <w:rPr>
          <w:rFonts w:ascii="Times New Roman" w:hAnsi="Times New Roman" w:cs="Times New Roman"/>
          <w:b/>
          <w:sz w:val="24"/>
          <w:szCs w:val="24"/>
          <w:lang w:val="en-US"/>
        </w:rPr>
      </w:pPr>
      <w:r w:rsidRPr="00F64262">
        <w:rPr>
          <w:rFonts w:ascii="Times New Roman" w:hAnsi="Times New Roman" w:cs="Times New Roman"/>
          <w:b/>
          <w:sz w:val="24"/>
          <w:szCs w:val="24"/>
          <w:lang w:val="en-US"/>
        </w:rPr>
        <w:t>Program description:</w:t>
      </w:r>
      <w:r w:rsidR="00112D21">
        <w:rPr>
          <w:rFonts w:ascii="Times New Roman" w:hAnsi="Times New Roman" w:cs="Times New Roman"/>
          <w:b/>
          <w:sz w:val="24"/>
          <w:szCs w:val="24"/>
          <w:lang w:val="en-US"/>
        </w:rPr>
        <w:br/>
      </w:r>
    </w:p>
    <w:p w:rsidR="002B2BB3" w:rsidRDefault="008A0575" w:rsidP="00112D21">
      <w:pPr>
        <w:spacing w:after="0"/>
        <w:rPr>
          <w:rFonts w:ascii="Times New Roman" w:hAnsi="Times New Roman" w:cs="Times New Roman"/>
          <w:color w:val="000000"/>
          <w:sz w:val="24"/>
          <w:szCs w:val="24"/>
          <w:lang w:val="en-US"/>
        </w:rPr>
      </w:pPr>
      <w:r w:rsidRPr="00F64262">
        <w:rPr>
          <w:rFonts w:ascii="Times New Roman" w:hAnsi="Times New Roman" w:cs="Times New Roman"/>
          <w:color w:val="000000"/>
          <w:sz w:val="24"/>
          <w:szCs w:val="24"/>
          <w:lang w:val="en-US"/>
        </w:rPr>
        <w:t>The Embassy of Canada to Kazakhstan, the Kyrgyz Republic, and Tajikistan is pleased to launch its annual call for proposals for the Canada Fund for Local Initiatives (CFLI). The CFLI is a responsive, flexible program, directly managed by the Canadian Embassy in Astana, to fund small but visible</w:t>
      </w:r>
      <w:r w:rsidR="000F1927" w:rsidRPr="00F64262">
        <w:rPr>
          <w:rFonts w:ascii="Times New Roman" w:hAnsi="Times New Roman" w:cs="Times New Roman"/>
          <w:color w:val="000000"/>
          <w:sz w:val="24"/>
          <w:szCs w:val="24"/>
          <w:lang w:val="en-US"/>
        </w:rPr>
        <w:t>, high impact, results-oriented</w:t>
      </w:r>
      <w:r w:rsidR="000346D5" w:rsidRPr="000346D5">
        <w:rPr>
          <w:rFonts w:ascii="Times New Roman" w:hAnsi="Times New Roman" w:cs="Times New Roman"/>
          <w:color w:val="000000"/>
          <w:sz w:val="24"/>
          <w:szCs w:val="24"/>
          <w:lang w:val="en-US"/>
        </w:rPr>
        <w:t xml:space="preserve"> </w:t>
      </w:r>
      <w:r w:rsidRPr="00F64262">
        <w:rPr>
          <w:rFonts w:ascii="Times New Roman" w:hAnsi="Times New Roman" w:cs="Times New Roman"/>
          <w:color w:val="000000"/>
          <w:sz w:val="24"/>
          <w:szCs w:val="24"/>
          <w:lang w:val="en-US"/>
        </w:rPr>
        <w:t>projects</w:t>
      </w:r>
      <w:r w:rsidR="000346D5" w:rsidRPr="000346D5">
        <w:rPr>
          <w:rFonts w:ascii="Times New Roman" w:hAnsi="Times New Roman" w:cs="Times New Roman"/>
          <w:color w:val="000000"/>
          <w:sz w:val="24"/>
          <w:szCs w:val="24"/>
          <w:lang w:val="en-US"/>
        </w:rPr>
        <w:t xml:space="preserve"> </w:t>
      </w:r>
      <w:r w:rsidR="009931C4" w:rsidRPr="00F64262">
        <w:rPr>
          <w:rFonts w:ascii="Times New Roman" w:hAnsi="Times New Roman" w:cs="Times New Roman"/>
          <w:bCs/>
          <w:color w:val="000000"/>
          <w:sz w:val="24"/>
          <w:szCs w:val="24"/>
          <w:lang w:val="en-US"/>
        </w:rPr>
        <w:t>in Kazakhstan, the Kyrgyz Republic, and Tajikistan</w:t>
      </w:r>
      <w:r w:rsidRPr="00F64262">
        <w:rPr>
          <w:rFonts w:ascii="Times New Roman" w:hAnsi="Times New Roman" w:cs="Times New Roman"/>
          <w:color w:val="000000"/>
          <w:sz w:val="24"/>
          <w:szCs w:val="24"/>
          <w:lang w:val="en-US"/>
        </w:rPr>
        <w:t>.</w:t>
      </w:r>
      <w:r w:rsidR="000346D5" w:rsidRPr="000346D5">
        <w:rPr>
          <w:rFonts w:ascii="Times New Roman" w:hAnsi="Times New Roman" w:cs="Times New Roman"/>
          <w:color w:val="000000"/>
          <w:sz w:val="24"/>
          <w:szCs w:val="24"/>
          <w:lang w:val="en-US"/>
        </w:rPr>
        <w:t xml:space="preserve"> </w:t>
      </w:r>
      <w:r w:rsidR="002B2BB3" w:rsidRPr="00F64262">
        <w:rPr>
          <w:rFonts w:ascii="Times New Roman" w:hAnsi="Times New Roman" w:cs="Times New Roman"/>
          <w:color w:val="000000"/>
          <w:sz w:val="24"/>
          <w:szCs w:val="24"/>
          <w:lang w:val="en-US"/>
        </w:rPr>
        <w:t>Through contribution agreements, the CFLI provides monetary assistance that covers all or a portion of the cost of projects that are comparatively modest in scope, scale and cost and that are usually conceived and designed by local organizations.</w:t>
      </w:r>
    </w:p>
    <w:p w:rsidR="00535664" w:rsidRDefault="00535664" w:rsidP="00DE32F6">
      <w:pPr>
        <w:pStyle w:val="Default"/>
        <w:rPr>
          <w:b/>
          <w:color w:val="auto"/>
          <w:lang w:val="en-US"/>
        </w:rPr>
      </w:pPr>
    </w:p>
    <w:p w:rsidR="00112D21" w:rsidRDefault="00112D21" w:rsidP="00DE32F6">
      <w:pPr>
        <w:pStyle w:val="Default"/>
        <w:rPr>
          <w:b/>
          <w:color w:val="auto"/>
          <w:lang w:val="en-US"/>
        </w:rPr>
      </w:pPr>
    </w:p>
    <w:p w:rsidR="00360B0B" w:rsidRDefault="007F5234" w:rsidP="00DE32F6">
      <w:pPr>
        <w:pStyle w:val="Default"/>
        <w:rPr>
          <w:b/>
          <w:color w:val="auto"/>
          <w:lang w:val="en-US"/>
        </w:rPr>
      </w:pPr>
      <w:r w:rsidRPr="00360B0B">
        <w:rPr>
          <w:b/>
          <w:color w:val="auto"/>
          <w:lang w:val="en-US"/>
        </w:rPr>
        <w:t>Qualifying Projects</w:t>
      </w:r>
      <w:r w:rsidR="00DE32F6" w:rsidRPr="00360B0B">
        <w:rPr>
          <w:b/>
          <w:color w:val="auto"/>
          <w:lang w:val="en-US"/>
        </w:rPr>
        <w:t>:</w:t>
      </w:r>
    </w:p>
    <w:p w:rsidR="00E0053D" w:rsidRPr="00085906" w:rsidRDefault="00E0053D" w:rsidP="00535664">
      <w:pPr>
        <w:pStyle w:val="Default"/>
        <w:rPr>
          <w:highlight w:val="yellow"/>
          <w:lang w:val="en-US"/>
        </w:rPr>
      </w:pPr>
    </w:p>
    <w:p w:rsidR="00535664" w:rsidRDefault="00112D21" w:rsidP="00C42E39">
      <w:pPr>
        <w:pStyle w:val="Default"/>
        <w:rPr>
          <w:lang w:val="en-US"/>
        </w:rPr>
      </w:pPr>
      <w:r>
        <w:rPr>
          <w:lang w:val="en-US"/>
        </w:rPr>
        <w:t>All p</w:t>
      </w:r>
      <w:r w:rsidR="00C42E39" w:rsidRPr="00546921">
        <w:rPr>
          <w:lang w:val="en-US"/>
        </w:rPr>
        <w:t xml:space="preserve">rojects supported by the CFLI must </w:t>
      </w:r>
      <w:r>
        <w:rPr>
          <w:lang w:val="en-US"/>
        </w:rPr>
        <w:t xml:space="preserve">be consistent with and </w:t>
      </w:r>
      <w:r w:rsidR="00C42E39" w:rsidRPr="00546921">
        <w:rPr>
          <w:lang w:val="en-US"/>
        </w:rPr>
        <w:t xml:space="preserve">align with one or more of </w:t>
      </w:r>
      <w:r>
        <w:rPr>
          <w:lang w:val="en-US"/>
        </w:rPr>
        <w:t>Canada’s five CFLI themes</w:t>
      </w:r>
      <w:r w:rsidR="00C42E39">
        <w:rPr>
          <w:lang w:val="en-US"/>
        </w:rPr>
        <w:t>:</w:t>
      </w:r>
    </w:p>
    <w:p w:rsidR="00535664" w:rsidRDefault="00535664" w:rsidP="00C42E39">
      <w:pPr>
        <w:pStyle w:val="Default"/>
        <w:rPr>
          <w:lang w:val="en-US"/>
        </w:rPr>
      </w:pPr>
    </w:p>
    <w:p w:rsidR="00085906" w:rsidRDefault="00C42E39" w:rsidP="00C42E39">
      <w:pPr>
        <w:pStyle w:val="Default"/>
        <w:rPr>
          <w:lang w:val="en-US"/>
        </w:rPr>
      </w:pPr>
      <w:r w:rsidRPr="00535664">
        <w:rPr>
          <w:lang w:val="en-US"/>
        </w:rPr>
        <w:t xml:space="preserve"> </w:t>
      </w:r>
      <w:r w:rsidR="00535664" w:rsidRPr="00535664">
        <w:rPr>
          <w:u w:val="single"/>
          <w:lang w:val="en-US"/>
        </w:rPr>
        <w:t>Priority themes</w:t>
      </w:r>
      <w:r w:rsidR="00535664" w:rsidRPr="00535664">
        <w:rPr>
          <w:lang w:val="en-US"/>
        </w:rPr>
        <w:t>:</w:t>
      </w:r>
    </w:p>
    <w:p w:rsidR="00112D21" w:rsidRPr="00535664" w:rsidRDefault="00112D21" w:rsidP="00C42E39">
      <w:pPr>
        <w:pStyle w:val="Default"/>
        <w:rPr>
          <w:lang w:val="en-US"/>
        </w:rPr>
      </w:pPr>
    </w:p>
    <w:p w:rsidR="00085906" w:rsidRPr="00535664" w:rsidRDefault="00085906" w:rsidP="00085906">
      <w:pPr>
        <w:pStyle w:val="ListParagraph"/>
        <w:numPr>
          <w:ilvl w:val="0"/>
          <w:numId w:val="17"/>
        </w:numPr>
        <w:spacing w:after="0" w:line="240" w:lineRule="auto"/>
        <w:rPr>
          <w:rFonts w:ascii="Times New Roman" w:hAnsi="Times New Roman" w:cs="Times New Roman"/>
          <w:b/>
          <w:sz w:val="24"/>
          <w:szCs w:val="24"/>
        </w:rPr>
      </w:pPr>
      <w:proofErr w:type="spellStart"/>
      <w:r w:rsidRPr="00535664">
        <w:rPr>
          <w:rFonts w:ascii="Times New Roman" w:hAnsi="Times New Roman" w:cs="Times New Roman"/>
          <w:b/>
          <w:sz w:val="24"/>
          <w:szCs w:val="24"/>
        </w:rPr>
        <w:t>Championing</w:t>
      </w:r>
      <w:proofErr w:type="spellEnd"/>
      <w:r w:rsidRPr="00535664">
        <w:rPr>
          <w:rFonts w:ascii="Times New Roman" w:hAnsi="Times New Roman" w:cs="Times New Roman"/>
          <w:b/>
          <w:sz w:val="24"/>
          <w:szCs w:val="24"/>
        </w:rPr>
        <w:t xml:space="preserve"> </w:t>
      </w:r>
      <w:proofErr w:type="spellStart"/>
      <w:r w:rsidRPr="00535664">
        <w:rPr>
          <w:rFonts w:ascii="Times New Roman" w:hAnsi="Times New Roman" w:cs="Times New Roman"/>
          <w:b/>
          <w:sz w:val="24"/>
          <w:szCs w:val="24"/>
        </w:rPr>
        <w:t>inclusive</w:t>
      </w:r>
      <w:proofErr w:type="spellEnd"/>
      <w:r w:rsidRPr="00535664">
        <w:rPr>
          <w:rFonts w:ascii="Times New Roman" w:hAnsi="Times New Roman" w:cs="Times New Roman"/>
          <w:b/>
          <w:sz w:val="24"/>
          <w:szCs w:val="24"/>
        </w:rPr>
        <w:t xml:space="preserve"> and </w:t>
      </w:r>
      <w:proofErr w:type="spellStart"/>
      <w:r w:rsidRPr="00535664">
        <w:rPr>
          <w:rFonts w:ascii="Times New Roman" w:hAnsi="Times New Roman" w:cs="Times New Roman"/>
          <w:b/>
          <w:sz w:val="24"/>
          <w:szCs w:val="24"/>
        </w:rPr>
        <w:t>accountable</w:t>
      </w:r>
      <w:proofErr w:type="spellEnd"/>
      <w:r w:rsidRPr="00535664">
        <w:rPr>
          <w:rFonts w:ascii="Times New Roman" w:hAnsi="Times New Roman" w:cs="Times New Roman"/>
          <w:b/>
          <w:sz w:val="24"/>
          <w:szCs w:val="24"/>
        </w:rPr>
        <w:t xml:space="preserve"> </w:t>
      </w:r>
      <w:proofErr w:type="spellStart"/>
      <w:r w:rsidRPr="00535664">
        <w:rPr>
          <w:rFonts w:ascii="Times New Roman" w:hAnsi="Times New Roman" w:cs="Times New Roman"/>
          <w:b/>
          <w:sz w:val="24"/>
          <w:szCs w:val="24"/>
        </w:rPr>
        <w:t>governance</w:t>
      </w:r>
      <w:proofErr w:type="spellEnd"/>
      <w:r w:rsidRPr="00535664">
        <w:rPr>
          <w:rFonts w:ascii="Times New Roman" w:hAnsi="Times New Roman" w:cs="Times New Roman"/>
          <w:b/>
          <w:sz w:val="24"/>
          <w:szCs w:val="24"/>
        </w:rPr>
        <w:t xml:space="preserve">, </w:t>
      </w:r>
      <w:proofErr w:type="spellStart"/>
      <w:r w:rsidRPr="00535664">
        <w:rPr>
          <w:rFonts w:ascii="Times New Roman" w:hAnsi="Times New Roman" w:cs="Times New Roman"/>
          <w:b/>
          <w:sz w:val="24"/>
          <w:szCs w:val="24"/>
        </w:rPr>
        <w:t>peaceful</w:t>
      </w:r>
      <w:proofErr w:type="spellEnd"/>
      <w:r w:rsidRPr="00535664">
        <w:rPr>
          <w:rFonts w:ascii="Times New Roman" w:hAnsi="Times New Roman" w:cs="Times New Roman"/>
          <w:b/>
          <w:sz w:val="24"/>
          <w:szCs w:val="24"/>
        </w:rPr>
        <w:t xml:space="preserve"> </w:t>
      </w:r>
      <w:proofErr w:type="spellStart"/>
      <w:r w:rsidRPr="00535664">
        <w:rPr>
          <w:rFonts w:ascii="Times New Roman" w:hAnsi="Times New Roman" w:cs="Times New Roman"/>
          <w:b/>
          <w:sz w:val="24"/>
          <w:szCs w:val="24"/>
        </w:rPr>
        <w:t>pluralism</w:t>
      </w:r>
      <w:proofErr w:type="spellEnd"/>
      <w:r w:rsidRPr="00535664">
        <w:rPr>
          <w:rFonts w:ascii="Times New Roman" w:hAnsi="Times New Roman" w:cs="Times New Roman"/>
          <w:b/>
          <w:sz w:val="24"/>
          <w:szCs w:val="24"/>
        </w:rPr>
        <w:t xml:space="preserve"> and </w:t>
      </w:r>
      <w:proofErr w:type="spellStart"/>
      <w:r w:rsidRPr="00535664">
        <w:rPr>
          <w:rFonts w:ascii="Times New Roman" w:hAnsi="Times New Roman" w:cs="Times New Roman"/>
          <w:b/>
          <w:sz w:val="24"/>
          <w:szCs w:val="24"/>
        </w:rPr>
        <w:t>respect</w:t>
      </w:r>
      <w:proofErr w:type="spellEnd"/>
      <w:r w:rsidRPr="00535664">
        <w:rPr>
          <w:rFonts w:ascii="Times New Roman" w:hAnsi="Times New Roman" w:cs="Times New Roman"/>
          <w:b/>
          <w:sz w:val="24"/>
          <w:szCs w:val="24"/>
        </w:rPr>
        <w:t xml:space="preserve"> </w:t>
      </w:r>
      <w:proofErr w:type="spellStart"/>
      <w:r w:rsidRPr="00535664">
        <w:rPr>
          <w:rFonts w:ascii="Times New Roman" w:hAnsi="Times New Roman" w:cs="Times New Roman"/>
          <w:b/>
          <w:sz w:val="24"/>
          <w:szCs w:val="24"/>
        </w:rPr>
        <w:t>for</w:t>
      </w:r>
      <w:proofErr w:type="spellEnd"/>
      <w:r w:rsidRPr="00535664">
        <w:rPr>
          <w:rFonts w:ascii="Times New Roman" w:hAnsi="Times New Roman" w:cs="Times New Roman"/>
          <w:b/>
          <w:sz w:val="24"/>
          <w:szCs w:val="24"/>
        </w:rPr>
        <w:t xml:space="preserve"> </w:t>
      </w:r>
      <w:proofErr w:type="spellStart"/>
      <w:r w:rsidRPr="00535664">
        <w:rPr>
          <w:rFonts w:ascii="Times New Roman" w:hAnsi="Times New Roman" w:cs="Times New Roman"/>
          <w:b/>
          <w:sz w:val="24"/>
          <w:szCs w:val="24"/>
        </w:rPr>
        <w:t>diversity</w:t>
      </w:r>
      <w:proofErr w:type="spellEnd"/>
      <w:r w:rsidRPr="00535664">
        <w:rPr>
          <w:rFonts w:ascii="Times New Roman" w:hAnsi="Times New Roman" w:cs="Times New Roman"/>
          <w:b/>
          <w:sz w:val="24"/>
          <w:szCs w:val="24"/>
        </w:rPr>
        <w:t xml:space="preserve">, and </w:t>
      </w:r>
      <w:proofErr w:type="spellStart"/>
      <w:r w:rsidRPr="00535664">
        <w:rPr>
          <w:rFonts w:ascii="Times New Roman" w:hAnsi="Times New Roman" w:cs="Times New Roman"/>
          <w:b/>
          <w:sz w:val="24"/>
          <w:szCs w:val="24"/>
        </w:rPr>
        <w:t>human</w:t>
      </w:r>
      <w:proofErr w:type="spellEnd"/>
      <w:r w:rsidRPr="00535664">
        <w:rPr>
          <w:rFonts w:ascii="Times New Roman" w:hAnsi="Times New Roman" w:cs="Times New Roman"/>
          <w:b/>
          <w:sz w:val="24"/>
          <w:szCs w:val="24"/>
        </w:rPr>
        <w:t xml:space="preserve"> </w:t>
      </w:r>
      <w:proofErr w:type="spellStart"/>
      <w:r w:rsidRPr="00535664">
        <w:rPr>
          <w:rFonts w:ascii="Times New Roman" w:hAnsi="Times New Roman" w:cs="Times New Roman"/>
          <w:b/>
          <w:sz w:val="24"/>
          <w:szCs w:val="24"/>
        </w:rPr>
        <w:t>rights</w:t>
      </w:r>
      <w:proofErr w:type="spellEnd"/>
    </w:p>
    <w:p w:rsidR="00085906" w:rsidRPr="00535664" w:rsidRDefault="00085906" w:rsidP="00085906">
      <w:pPr>
        <w:pStyle w:val="ListParagraph"/>
        <w:numPr>
          <w:ilvl w:val="0"/>
          <w:numId w:val="17"/>
        </w:numPr>
        <w:spacing w:after="0" w:line="240" w:lineRule="auto"/>
        <w:rPr>
          <w:rFonts w:ascii="Times New Roman" w:hAnsi="Times New Roman" w:cs="Times New Roman"/>
          <w:b/>
          <w:sz w:val="24"/>
          <w:szCs w:val="24"/>
        </w:rPr>
      </w:pPr>
      <w:proofErr w:type="spellStart"/>
      <w:r w:rsidRPr="00535664">
        <w:rPr>
          <w:rFonts w:ascii="Times New Roman" w:hAnsi="Times New Roman" w:cs="Times New Roman"/>
          <w:b/>
          <w:sz w:val="24"/>
          <w:szCs w:val="24"/>
        </w:rPr>
        <w:t>Addressing</w:t>
      </w:r>
      <w:proofErr w:type="spellEnd"/>
      <w:r w:rsidRPr="00535664">
        <w:rPr>
          <w:rFonts w:ascii="Times New Roman" w:hAnsi="Times New Roman" w:cs="Times New Roman"/>
          <w:b/>
          <w:sz w:val="24"/>
          <w:szCs w:val="24"/>
        </w:rPr>
        <w:t xml:space="preserve"> </w:t>
      </w:r>
      <w:proofErr w:type="spellStart"/>
      <w:r w:rsidRPr="00535664">
        <w:rPr>
          <w:rFonts w:ascii="Times New Roman" w:hAnsi="Times New Roman" w:cs="Times New Roman"/>
          <w:b/>
          <w:sz w:val="24"/>
          <w:szCs w:val="24"/>
        </w:rPr>
        <w:t>climate</w:t>
      </w:r>
      <w:proofErr w:type="spellEnd"/>
      <w:r w:rsidRPr="00535664">
        <w:rPr>
          <w:rFonts w:ascii="Times New Roman" w:hAnsi="Times New Roman" w:cs="Times New Roman"/>
          <w:b/>
          <w:sz w:val="24"/>
          <w:szCs w:val="24"/>
        </w:rPr>
        <w:t xml:space="preserve"> </w:t>
      </w:r>
      <w:proofErr w:type="spellStart"/>
      <w:r w:rsidRPr="00535664">
        <w:rPr>
          <w:rFonts w:ascii="Times New Roman" w:hAnsi="Times New Roman" w:cs="Times New Roman"/>
          <w:b/>
          <w:sz w:val="24"/>
          <w:szCs w:val="24"/>
        </w:rPr>
        <w:t>change</w:t>
      </w:r>
      <w:proofErr w:type="spellEnd"/>
      <w:r w:rsidRPr="00535664">
        <w:rPr>
          <w:rFonts w:ascii="Times New Roman" w:hAnsi="Times New Roman" w:cs="Times New Roman"/>
          <w:b/>
          <w:sz w:val="24"/>
          <w:szCs w:val="24"/>
        </w:rPr>
        <w:t xml:space="preserve"> and </w:t>
      </w:r>
      <w:proofErr w:type="spellStart"/>
      <w:r w:rsidRPr="00535664">
        <w:rPr>
          <w:rFonts w:ascii="Times New Roman" w:hAnsi="Times New Roman" w:cs="Times New Roman"/>
          <w:b/>
          <w:sz w:val="24"/>
          <w:szCs w:val="24"/>
        </w:rPr>
        <w:t>enhancing</w:t>
      </w:r>
      <w:proofErr w:type="spellEnd"/>
      <w:r w:rsidRPr="00535664">
        <w:rPr>
          <w:rFonts w:ascii="Times New Roman" w:hAnsi="Times New Roman" w:cs="Times New Roman"/>
          <w:b/>
          <w:sz w:val="24"/>
          <w:szCs w:val="24"/>
        </w:rPr>
        <w:t xml:space="preserve"> </w:t>
      </w:r>
      <w:proofErr w:type="spellStart"/>
      <w:r w:rsidRPr="00535664">
        <w:rPr>
          <w:rFonts w:ascii="Times New Roman" w:hAnsi="Times New Roman" w:cs="Times New Roman"/>
          <w:b/>
          <w:sz w:val="24"/>
          <w:szCs w:val="24"/>
        </w:rPr>
        <w:t>environmental</w:t>
      </w:r>
      <w:proofErr w:type="spellEnd"/>
      <w:r w:rsidRPr="00535664">
        <w:rPr>
          <w:rFonts w:ascii="Times New Roman" w:hAnsi="Times New Roman" w:cs="Times New Roman"/>
          <w:b/>
          <w:sz w:val="24"/>
          <w:szCs w:val="24"/>
        </w:rPr>
        <w:t xml:space="preserve"> </w:t>
      </w:r>
      <w:proofErr w:type="spellStart"/>
      <w:r w:rsidRPr="00535664">
        <w:rPr>
          <w:rFonts w:ascii="Times New Roman" w:hAnsi="Times New Roman" w:cs="Times New Roman"/>
          <w:b/>
          <w:sz w:val="24"/>
          <w:szCs w:val="24"/>
        </w:rPr>
        <w:t>sustainability</w:t>
      </w:r>
      <w:proofErr w:type="spellEnd"/>
      <w:r w:rsidRPr="00535664">
        <w:rPr>
          <w:rFonts w:ascii="Times New Roman" w:hAnsi="Times New Roman" w:cs="Times New Roman"/>
          <w:b/>
          <w:sz w:val="24"/>
          <w:szCs w:val="24"/>
        </w:rPr>
        <w:t xml:space="preserve"> </w:t>
      </w:r>
    </w:p>
    <w:p w:rsidR="00535664" w:rsidRDefault="00535664" w:rsidP="00535664">
      <w:pPr>
        <w:spacing w:after="0" w:line="240" w:lineRule="auto"/>
        <w:rPr>
          <w:rFonts w:ascii="Times New Roman" w:hAnsi="Times New Roman" w:cs="Times New Roman"/>
          <w:sz w:val="24"/>
          <w:szCs w:val="24"/>
          <w:lang w:val="en-CA"/>
        </w:rPr>
      </w:pPr>
    </w:p>
    <w:p w:rsidR="00535664" w:rsidRDefault="00535664" w:rsidP="00535664">
      <w:pPr>
        <w:spacing w:after="0" w:line="240" w:lineRule="auto"/>
        <w:rPr>
          <w:rFonts w:ascii="Times New Roman" w:hAnsi="Times New Roman" w:cs="Times New Roman"/>
          <w:sz w:val="24"/>
          <w:szCs w:val="24"/>
          <w:lang w:val="en-CA"/>
        </w:rPr>
      </w:pPr>
      <w:r>
        <w:rPr>
          <w:rFonts w:ascii="Times New Roman" w:hAnsi="Times New Roman" w:cs="Times New Roman"/>
          <w:sz w:val="24"/>
          <w:szCs w:val="24"/>
          <w:u w:val="single"/>
          <w:lang w:val="en-CA"/>
        </w:rPr>
        <w:t>Other themes</w:t>
      </w:r>
      <w:r>
        <w:rPr>
          <w:rFonts w:ascii="Times New Roman" w:hAnsi="Times New Roman" w:cs="Times New Roman"/>
          <w:sz w:val="24"/>
          <w:szCs w:val="24"/>
          <w:lang w:val="en-CA"/>
        </w:rPr>
        <w:t>:</w:t>
      </w:r>
    </w:p>
    <w:p w:rsidR="00112D21" w:rsidRPr="00535664" w:rsidRDefault="00112D21" w:rsidP="00535664">
      <w:pPr>
        <w:spacing w:after="0" w:line="240" w:lineRule="auto"/>
        <w:rPr>
          <w:rFonts w:ascii="Times New Roman" w:hAnsi="Times New Roman" w:cs="Times New Roman"/>
          <w:sz w:val="24"/>
          <w:szCs w:val="24"/>
          <w:lang w:val="en-CA"/>
        </w:rPr>
      </w:pPr>
    </w:p>
    <w:p w:rsidR="00085906" w:rsidRPr="00085906" w:rsidRDefault="00085906" w:rsidP="00085906">
      <w:pPr>
        <w:pStyle w:val="ListParagraph"/>
        <w:numPr>
          <w:ilvl w:val="0"/>
          <w:numId w:val="17"/>
        </w:numPr>
        <w:spacing w:after="0" w:line="240" w:lineRule="auto"/>
        <w:rPr>
          <w:rFonts w:ascii="Times New Roman" w:hAnsi="Times New Roman" w:cs="Times New Roman"/>
          <w:sz w:val="24"/>
          <w:szCs w:val="24"/>
          <w:lang w:val="fr-CA"/>
        </w:rPr>
      </w:pPr>
      <w:proofErr w:type="spellStart"/>
      <w:r w:rsidRPr="00085906">
        <w:rPr>
          <w:rFonts w:ascii="Times New Roman" w:hAnsi="Times New Roman" w:cs="Times New Roman"/>
          <w:sz w:val="24"/>
          <w:szCs w:val="24"/>
        </w:rPr>
        <w:t>Promoting</w:t>
      </w:r>
      <w:proofErr w:type="spellEnd"/>
      <w:r w:rsidRPr="00085906">
        <w:rPr>
          <w:rFonts w:ascii="Times New Roman" w:hAnsi="Times New Roman" w:cs="Times New Roman"/>
          <w:sz w:val="24"/>
          <w:szCs w:val="24"/>
        </w:rPr>
        <w:t xml:space="preserve"> </w:t>
      </w:r>
      <w:proofErr w:type="spellStart"/>
      <w:r w:rsidRPr="00085906">
        <w:rPr>
          <w:rFonts w:ascii="Times New Roman" w:hAnsi="Times New Roman" w:cs="Times New Roman"/>
          <w:sz w:val="24"/>
          <w:szCs w:val="24"/>
        </w:rPr>
        <w:t>stability</w:t>
      </w:r>
      <w:proofErr w:type="spellEnd"/>
      <w:r w:rsidRPr="00085906">
        <w:rPr>
          <w:rFonts w:ascii="Times New Roman" w:hAnsi="Times New Roman" w:cs="Times New Roman"/>
          <w:sz w:val="24"/>
          <w:szCs w:val="24"/>
          <w:lang w:val="fr-CA"/>
        </w:rPr>
        <w:t xml:space="preserve"> and</w:t>
      </w:r>
      <w:r w:rsidRPr="00085906">
        <w:rPr>
          <w:rFonts w:ascii="Times New Roman" w:hAnsi="Times New Roman" w:cs="Times New Roman"/>
          <w:sz w:val="24"/>
          <w:szCs w:val="24"/>
        </w:rPr>
        <w:t xml:space="preserve"> </w:t>
      </w:r>
      <w:proofErr w:type="spellStart"/>
      <w:r w:rsidRPr="00085906">
        <w:rPr>
          <w:rFonts w:ascii="Times New Roman" w:hAnsi="Times New Roman" w:cs="Times New Roman"/>
          <w:sz w:val="24"/>
          <w:szCs w:val="24"/>
        </w:rPr>
        <w:t>security</w:t>
      </w:r>
      <w:proofErr w:type="spellEnd"/>
    </w:p>
    <w:p w:rsidR="00085906" w:rsidRPr="00085906" w:rsidRDefault="00085906" w:rsidP="00085906">
      <w:pPr>
        <w:pStyle w:val="ListParagraph"/>
        <w:numPr>
          <w:ilvl w:val="0"/>
          <w:numId w:val="17"/>
        </w:numPr>
        <w:spacing w:after="0" w:line="240" w:lineRule="auto"/>
        <w:rPr>
          <w:rFonts w:ascii="Times New Roman" w:hAnsi="Times New Roman" w:cs="Times New Roman"/>
          <w:sz w:val="24"/>
          <w:szCs w:val="24"/>
        </w:rPr>
      </w:pPr>
      <w:proofErr w:type="spellStart"/>
      <w:r w:rsidRPr="00085906">
        <w:rPr>
          <w:rFonts w:ascii="Times New Roman" w:hAnsi="Times New Roman" w:cs="Times New Roman"/>
          <w:sz w:val="24"/>
          <w:szCs w:val="24"/>
        </w:rPr>
        <w:t>Promoting</w:t>
      </w:r>
      <w:proofErr w:type="spellEnd"/>
      <w:r w:rsidRPr="00085906">
        <w:rPr>
          <w:rFonts w:ascii="Times New Roman" w:hAnsi="Times New Roman" w:cs="Times New Roman"/>
          <w:sz w:val="24"/>
          <w:szCs w:val="24"/>
        </w:rPr>
        <w:t xml:space="preserve"> </w:t>
      </w:r>
      <w:proofErr w:type="spellStart"/>
      <w:r w:rsidRPr="00085906">
        <w:rPr>
          <w:rFonts w:ascii="Times New Roman" w:hAnsi="Times New Roman" w:cs="Times New Roman"/>
          <w:sz w:val="24"/>
          <w:szCs w:val="24"/>
        </w:rPr>
        <w:t>gender</w:t>
      </w:r>
      <w:proofErr w:type="spellEnd"/>
      <w:r w:rsidRPr="00085906">
        <w:rPr>
          <w:rFonts w:ascii="Times New Roman" w:hAnsi="Times New Roman" w:cs="Times New Roman"/>
          <w:sz w:val="24"/>
          <w:szCs w:val="24"/>
        </w:rPr>
        <w:t xml:space="preserve"> </w:t>
      </w:r>
      <w:proofErr w:type="spellStart"/>
      <w:r w:rsidRPr="00085906">
        <w:rPr>
          <w:rFonts w:ascii="Times New Roman" w:hAnsi="Times New Roman" w:cs="Times New Roman"/>
          <w:sz w:val="24"/>
          <w:szCs w:val="24"/>
        </w:rPr>
        <w:t>equality</w:t>
      </w:r>
      <w:proofErr w:type="spellEnd"/>
      <w:r w:rsidRPr="00085906">
        <w:rPr>
          <w:rFonts w:ascii="Times New Roman" w:hAnsi="Times New Roman" w:cs="Times New Roman"/>
          <w:sz w:val="24"/>
          <w:szCs w:val="24"/>
        </w:rPr>
        <w:t xml:space="preserve"> and </w:t>
      </w:r>
      <w:proofErr w:type="spellStart"/>
      <w:r w:rsidRPr="00085906">
        <w:rPr>
          <w:rFonts w:ascii="Times New Roman" w:hAnsi="Times New Roman" w:cs="Times New Roman"/>
          <w:sz w:val="24"/>
          <w:szCs w:val="24"/>
        </w:rPr>
        <w:t>empowerment</w:t>
      </w:r>
      <w:proofErr w:type="spellEnd"/>
      <w:r w:rsidRPr="00085906">
        <w:rPr>
          <w:rFonts w:ascii="Times New Roman" w:hAnsi="Times New Roman" w:cs="Times New Roman"/>
          <w:sz w:val="24"/>
          <w:szCs w:val="24"/>
        </w:rPr>
        <w:t xml:space="preserve"> </w:t>
      </w:r>
      <w:proofErr w:type="spellStart"/>
      <w:r w:rsidRPr="00085906">
        <w:rPr>
          <w:rFonts w:ascii="Times New Roman" w:hAnsi="Times New Roman" w:cs="Times New Roman"/>
          <w:sz w:val="24"/>
          <w:szCs w:val="24"/>
        </w:rPr>
        <w:t>of</w:t>
      </w:r>
      <w:proofErr w:type="spellEnd"/>
      <w:r w:rsidRPr="00085906">
        <w:rPr>
          <w:rFonts w:ascii="Times New Roman" w:hAnsi="Times New Roman" w:cs="Times New Roman"/>
          <w:sz w:val="24"/>
          <w:szCs w:val="24"/>
        </w:rPr>
        <w:t xml:space="preserve"> </w:t>
      </w:r>
      <w:proofErr w:type="spellStart"/>
      <w:r w:rsidRPr="00085906">
        <w:rPr>
          <w:rFonts w:ascii="Times New Roman" w:hAnsi="Times New Roman" w:cs="Times New Roman"/>
          <w:sz w:val="24"/>
          <w:szCs w:val="24"/>
        </w:rPr>
        <w:t>women</w:t>
      </w:r>
      <w:proofErr w:type="spellEnd"/>
      <w:r w:rsidRPr="00085906">
        <w:rPr>
          <w:rFonts w:ascii="Times New Roman" w:hAnsi="Times New Roman" w:cs="Times New Roman"/>
          <w:sz w:val="24"/>
          <w:szCs w:val="24"/>
        </w:rPr>
        <w:t xml:space="preserve"> and </w:t>
      </w:r>
      <w:proofErr w:type="spellStart"/>
      <w:r w:rsidRPr="00085906">
        <w:rPr>
          <w:rFonts w:ascii="Times New Roman" w:hAnsi="Times New Roman" w:cs="Times New Roman"/>
          <w:sz w:val="24"/>
          <w:szCs w:val="24"/>
        </w:rPr>
        <w:t>girls</w:t>
      </w:r>
      <w:proofErr w:type="spellEnd"/>
    </w:p>
    <w:p w:rsidR="00085906" w:rsidRPr="00085906" w:rsidRDefault="00085906" w:rsidP="00085906">
      <w:pPr>
        <w:pStyle w:val="ListParagraph"/>
        <w:numPr>
          <w:ilvl w:val="0"/>
          <w:numId w:val="17"/>
        </w:numPr>
        <w:spacing w:after="0" w:line="240" w:lineRule="auto"/>
        <w:rPr>
          <w:rFonts w:ascii="Times New Roman" w:hAnsi="Times New Roman" w:cs="Times New Roman"/>
          <w:sz w:val="24"/>
          <w:szCs w:val="24"/>
          <w:lang w:eastAsia="en-CA"/>
        </w:rPr>
      </w:pPr>
      <w:proofErr w:type="spellStart"/>
      <w:r w:rsidRPr="00085906">
        <w:rPr>
          <w:rFonts w:ascii="Times New Roman" w:hAnsi="Times New Roman" w:cs="Times New Roman"/>
          <w:sz w:val="24"/>
          <w:szCs w:val="24"/>
        </w:rPr>
        <w:t>Stimulating</w:t>
      </w:r>
      <w:proofErr w:type="spellEnd"/>
      <w:r w:rsidRPr="00085906">
        <w:rPr>
          <w:rFonts w:ascii="Times New Roman" w:hAnsi="Times New Roman" w:cs="Times New Roman"/>
          <w:sz w:val="24"/>
          <w:szCs w:val="24"/>
        </w:rPr>
        <w:t xml:space="preserve"> </w:t>
      </w:r>
      <w:proofErr w:type="spellStart"/>
      <w:r w:rsidRPr="00085906">
        <w:rPr>
          <w:rFonts w:ascii="Times New Roman" w:hAnsi="Times New Roman" w:cs="Times New Roman"/>
          <w:sz w:val="24"/>
          <w:szCs w:val="24"/>
        </w:rPr>
        <w:t>sustainable</w:t>
      </w:r>
      <w:proofErr w:type="spellEnd"/>
      <w:r w:rsidRPr="00085906">
        <w:rPr>
          <w:rFonts w:ascii="Times New Roman" w:hAnsi="Times New Roman" w:cs="Times New Roman"/>
          <w:sz w:val="24"/>
          <w:szCs w:val="24"/>
        </w:rPr>
        <w:t xml:space="preserve"> and </w:t>
      </w:r>
      <w:proofErr w:type="spellStart"/>
      <w:r w:rsidRPr="00085906">
        <w:rPr>
          <w:rFonts w:ascii="Times New Roman" w:hAnsi="Times New Roman" w:cs="Times New Roman"/>
          <w:sz w:val="24"/>
          <w:szCs w:val="24"/>
        </w:rPr>
        <w:t>green</w:t>
      </w:r>
      <w:proofErr w:type="spellEnd"/>
      <w:r w:rsidRPr="00085906">
        <w:rPr>
          <w:rFonts w:ascii="Times New Roman" w:hAnsi="Times New Roman" w:cs="Times New Roman"/>
          <w:sz w:val="24"/>
          <w:szCs w:val="24"/>
        </w:rPr>
        <w:t xml:space="preserve"> </w:t>
      </w:r>
      <w:proofErr w:type="spellStart"/>
      <w:r w:rsidRPr="00085906">
        <w:rPr>
          <w:rFonts w:ascii="Times New Roman" w:hAnsi="Times New Roman" w:cs="Times New Roman"/>
          <w:sz w:val="24"/>
          <w:szCs w:val="24"/>
        </w:rPr>
        <w:t>economic</w:t>
      </w:r>
      <w:proofErr w:type="spellEnd"/>
      <w:r w:rsidRPr="00085906">
        <w:rPr>
          <w:rFonts w:ascii="Times New Roman" w:hAnsi="Times New Roman" w:cs="Times New Roman"/>
          <w:sz w:val="24"/>
          <w:szCs w:val="24"/>
        </w:rPr>
        <w:t xml:space="preserve"> </w:t>
      </w:r>
      <w:proofErr w:type="spellStart"/>
      <w:r w:rsidRPr="00085906">
        <w:rPr>
          <w:rFonts w:ascii="Times New Roman" w:hAnsi="Times New Roman" w:cs="Times New Roman"/>
          <w:sz w:val="24"/>
          <w:szCs w:val="24"/>
        </w:rPr>
        <w:t>growth</w:t>
      </w:r>
      <w:proofErr w:type="spellEnd"/>
      <w:r w:rsidRPr="00085906">
        <w:rPr>
          <w:rFonts w:ascii="Times New Roman" w:hAnsi="Times New Roman" w:cs="Times New Roman"/>
          <w:sz w:val="24"/>
          <w:szCs w:val="24"/>
          <w:lang w:eastAsia="en-CA"/>
        </w:rPr>
        <w:t xml:space="preserve"> </w:t>
      </w:r>
    </w:p>
    <w:p w:rsidR="00085906" w:rsidRPr="00535664" w:rsidRDefault="00085906" w:rsidP="00085906">
      <w:pPr>
        <w:pStyle w:val="ListParagraph"/>
        <w:spacing w:after="0" w:line="240" w:lineRule="auto"/>
        <w:ind w:left="780"/>
        <w:rPr>
          <w:rFonts w:ascii="Times New Roman" w:hAnsi="Times New Roman" w:cs="Times New Roman"/>
          <w:sz w:val="24"/>
          <w:szCs w:val="24"/>
          <w:lang w:val="en-CA"/>
        </w:rPr>
      </w:pPr>
    </w:p>
    <w:p w:rsidR="00085906" w:rsidRPr="001A04D7" w:rsidRDefault="00535664" w:rsidP="00112D21">
      <w:pPr>
        <w:spacing w:after="0"/>
        <w:rPr>
          <w:rFonts w:ascii="Times New Roman" w:hAnsi="Times New Roman" w:cs="Times New Roman"/>
          <w:sz w:val="24"/>
          <w:szCs w:val="24"/>
          <w:lang w:val="en-CA"/>
        </w:rPr>
      </w:pPr>
      <w:r>
        <w:rPr>
          <w:rFonts w:ascii="Times New Roman" w:hAnsi="Times New Roman" w:cs="Times New Roman"/>
          <w:sz w:val="24"/>
          <w:szCs w:val="24"/>
          <w:lang w:val="en-CA"/>
        </w:rPr>
        <w:t xml:space="preserve">Project proposals that address a priority theme will be given priority consideration, though proposals addressing other themes will also be considered. Priority consideration will also be </w:t>
      </w:r>
      <w:r w:rsidR="00085906">
        <w:rPr>
          <w:rFonts w:ascii="Times New Roman" w:hAnsi="Times New Roman" w:cs="Times New Roman"/>
          <w:sz w:val="24"/>
          <w:szCs w:val="24"/>
          <w:lang w:val="en-CA"/>
        </w:rPr>
        <w:t xml:space="preserve">given to project proposals that have a </w:t>
      </w:r>
      <w:r>
        <w:rPr>
          <w:rFonts w:ascii="Times New Roman" w:hAnsi="Times New Roman" w:cs="Times New Roman"/>
          <w:sz w:val="24"/>
          <w:szCs w:val="24"/>
          <w:lang w:val="en-CA"/>
        </w:rPr>
        <w:t xml:space="preserve">cross-border or </w:t>
      </w:r>
      <w:r w:rsidR="00085906">
        <w:rPr>
          <w:rFonts w:ascii="Times New Roman" w:hAnsi="Times New Roman" w:cs="Times New Roman"/>
          <w:sz w:val="24"/>
          <w:szCs w:val="24"/>
          <w:lang w:val="en-CA"/>
        </w:rPr>
        <w:t>regional component, a women’s rights component, and/or an emphasis on good governance and anti-corruption.</w:t>
      </w:r>
    </w:p>
    <w:p w:rsidR="00E0053D" w:rsidRDefault="00E0053D" w:rsidP="00112D21">
      <w:pPr>
        <w:pStyle w:val="Default"/>
        <w:rPr>
          <w:lang w:val="en-US"/>
        </w:rPr>
      </w:pPr>
    </w:p>
    <w:p w:rsidR="00112D21" w:rsidRDefault="00112D21" w:rsidP="00112D21">
      <w:pPr>
        <w:pStyle w:val="Default"/>
        <w:rPr>
          <w:b/>
          <w:lang w:val="en-US"/>
        </w:rPr>
      </w:pPr>
    </w:p>
    <w:p w:rsidR="00DE32F6" w:rsidRPr="00360B0B" w:rsidRDefault="00DE32F6" w:rsidP="00112D21">
      <w:pPr>
        <w:pStyle w:val="Default"/>
        <w:rPr>
          <w:lang w:val="en-US"/>
        </w:rPr>
      </w:pPr>
      <w:r w:rsidRPr="00360B0B">
        <w:rPr>
          <w:b/>
          <w:lang w:val="en-US"/>
        </w:rPr>
        <w:t>Available Funding:</w:t>
      </w:r>
    </w:p>
    <w:p w:rsidR="00DE32F6" w:rsidRPr="00D8313A" w:rsidRDefault="00DE32F6" w:rsidP="00112D21">
      <w:pPr>
        <w:pStyle w:val="Default"/>
        <w:rPr>
          <w:sz w:val="16"/>
          <w:szCs w:val="16"/>
          <w:lang w:val="en-US"/>
        </w:rPr>
      </w:pPr>
    </w:p>
    <w:p w:rsidR="00A9336A" w:rsidRPr="00360B0B" w:rsidRDefault="00085906" w:rsidP="00112D21">
      <w:pPr>
        <w:pStyle w:val="Default"/>
        <w:rPr>
          <w:lang w:val="en-US"/>
        </w:rPr>
      </w:pPr>
      <w:r>
        <w:rPr>
          <w:lang w:val="en-US"/>
        </w:rPr>
        <w:t>Project funding will typically be available up to 25,000 Canadian Dollars per project</w:t>
      </w:r>
      <w:r w:rsidR="00535664">
        <w:rPr>
          <w:lang w:val="en-US"/>
        </w:rPr>
        <w:t>, though funding up to 50,000 Canadian Dollars will be considered for larger projects that qualify for priority consideration</w:t>
      </w:r>
      <w:r w:rsidR="002B2BB3" w:rsidRPr="00360B0B">
        <w:rPr>
          <w:lang w:val="en-US"/>
        </w:rPr>
        <w:t xml:space="preserve">. </w:t>
      </w:r>
      <w:r>
        <w:rPr>
          <w:lang w:val="en-US"/>
        </w:rPr>
        <w:t xml:space="preserve">For exchange rates, the following currency converter can be consulted: </w:t>
      </w:r>
      <w:hyperlink r:id="rId8" w:history="1">
        <w:r w:rsidR="00173F4F" w:rsidRPr="00360B0B">
          <w:rPr>
            <w:rStyle w:val="Hyperlink"/>
            <w:bCs/>
            <w:lang w:val="en-US"/>
          </w:rPr>
          <w:t>http://www.oanda.com/lang/ru/currency/converter/</w:t>
        </w:r>
      </w:hyperlink>
    </w:p>
    <w:p w:rsidR="0073024D" w:rsidRDefault="0073024D" w:rsidP="0073024D">
      <w:pPr>
        <w:rPr>
          <w:rFonts w:ascii="Times New Roman" w:hAnsi="Times New Roman" w:cs="Times New Roman"/>
          <w:b/>
          <w:sz w:val="24"/>
          <w:szCs w:val="24"/>
          <w:lang w:val="en-US"/>
        </w:rPr>
      </w:pPr>
    </w:p>
    <w:p w:rsidR="0073024D" w:rsidRDefault="0073024D" w:rsidP="00112D21">
      <w:pPr>
        <w:spacing w:after="0"/>
        <w:rPr>
          <w:rFonts w:ascii="Times New Roman" w:hAnsi="Times New Roman" w:cs="Times New Roman"/>
          <w:b/>
          <w:sz w:val="24"/>
          <w:szCs w:val="24"/>
          <w:lang w:val="en-US"/>
        </w:rPr>
      </w:pPr>
      <w:r w:rsidRPr="00360B0B">
        <w:rPr>
          <w:rFonts w:ascii="Times New Roman" w:hAnsi="Times New Roman" w:cs="Times New Roman"/>
          <w:b/>
          <w:sz w:val="24"/>
          <w:szCs w:val="24"/>
          <w:lang w:val="en-US"/>
        </w:rPr>
        <w:lastRenderedPageBreak/>
        <w:t>Term of Projects:</w:t>
      </w:r>
    </w:p>
    <w:p w:rsidR="00112D21" w:rsidRPr="00360B0B" w:rsidRDefault="00112D21" w:rsidP="00112D21">
      <w:pPr>
        <w:spacing w:after="0"/>
        <w:rPr>
          <w:rFonts w:ascii="Times New Roman" w:hAnsi="Times New Roman" w:cs="Times New Roman"/>
          <w:b/>
          <w:sz w:val="24"/>
          <w:szCs w:val="24"/>
          <w:lang w:val="en-US"/>
        </w:rPr>
      </w:pPr>
    </w:p>
    <w:p w:rsidR="0073024D" w:rsidRPr="00112D21" w:rsidRDefault="0073024D" w:rsidP="00112D21">
      <w:pPr>
        <w:spacing w:after="0"/>
        <w:rPr>
          <w:rFonts w:ascii="Times New Roman" w:hAnsi="Times New Roman" w:cs="Times New Roman"/>
          <w:sz w:val="24"/>
          <w:szCs w:val="24"/>
          <w:lang w:val="en-US"/>
        </w:rPr>
      </w:pPr>
      <w:r w:rsidRPr="00112D21">
        <w:rPr>
          <w:rFonts w:ascii="Times New Roman" w:hAnsi="Times New Roman" w:cs="Times New Roman"/>
          <w:sz w:val="24"/>
          <w:szCs w:val="24"/>
          <w:lang w:val="en-US"/>
        </w:rPr>
        <w:t xml:space="preserve">All projects must be completed between the date of signature of the Contribution Agreement and February 28, 2017. </w:t>
      </w:r>
    </w:p>
    <w:p w:rsidR="0073024D" w:rsidRDefault="0073024D" w:rsidP="00112D21">
      <w:pPr>
        <w:spacing w:after="0"/>
        <w:rPr>
          <w:rFonts w:ascii="Times New Roman" w:hAnsi="Times New Roman" w:cs="Times New Roman"/>
          <w:b/>
          <w:sz w:val="24"/>
          <w:szCs w:val="24"/>
          <w:lang w:val="en-US"/>
        </w:rPr>
      </w:pPr>
    </w:p>
    <w:p w:rsidR="00112D21" w:rsidRDefault="00112D21" w:rsidP="00112D21">
      <w:pPr>
        <w:spacing w:after="0"/>
        <w:rPr>
          <w:rFonts w:ascii="Times New Roman" w:hAnsi="Times New Roman" w:cs="Times New Roman"/>
          <w:b/>
          <w:sz w:val="24"/>
          <w:szCs w:val="24"/>
          <w:lang w:val="en-US"/>
        </w:rPr>
      </w:pPr>
    </w:p>
    <w:p w:rsidR="0073024D" w:rsidRDefault="0073024D" w:rsidP="00112D21">
      <w:pPr>
        <w:spacing w:after="0"/>
        <w:rPr>
          <w:rFonts w:ascii="Times New Roman" w:hAnsi="Times New Roman" w:cs="Times New Roman"/>
          <w:b/>
          <w:sz w:val="24"/>
          <w:szCs w:val="24"/>
          <w:lang w:val="en-US"/>
        </w:rPr>
      </w:pPr>
      <w:r w:rsidRPr="00360B0B">
        <w:rPr>
          <w:rFonts w:ascii="Times New Roman" w:hAnsi="Times New Roman" w:cs="Times New Roman"/>
          <w:b/>
          <w:sz w:val="24"/>
          <w:szCs w:val="24"/>
          <w:lang w:val="en-US"/>
        </w:rPr>
        <w:t>Process to Submit a</w:t>
      </w:r>
      <w:r w:rsidRPr="00F408A8">
        <w:rPr>
          <w:rFonts w:ascii="Times New Roman" w:hAnsi="Times New Roman" w:cs="Times New Roman"/>
          <w:b/>
          <w:sz w:val="24"/>
          <w:szCs w:val="24"/>
          <w:lang w:val="en-US"/>
        </w:rPr>
        <w:t xml:space="preserve"> </w:t>
      </w:r>
      <w:r w:rsidRPr="00360B0B">
        <w:rPr>
          <w:rFonts w:ascii="Times New Roman" w:hAnsi="Times New Roman" w:cs="Times New Roman"/>
          <w:b/>
          <w:sz w:val="24"/>
          <w:szCs w:val="24"/>
          <w:lang w:val="en-US"/>
        </w:rPr>
        <w:t>Proposal:</w:t>
      </w:r>
    </w:p>
    <w:p w:rsidR="00112D21" w:rsidRPr="00360B0B" w:rsidRDefault="00112D21" w:rsidP="00112D21">
      <w:pPr>
        <w:spacing w:after="0"/>
        <w:rPr>
          <w:rFonts w:ascii="Times New Roman" w:hAnsi="Times New Roman" w:cs="Times New Roman"/>
          <w:b/>
          <w:sz w:val="24"/>
          <w:szCs w:val="24"/>
          <w:lang w:val="en-US"/>
        </w:rPr>
      </w:pPr>
    </w:p>
    <w:p w:rsidR="0073024D" w:rsidRDefault="0073024D" w:rsidP="00112D21">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lang w:val="en-US"/>
        </w:rPr>
      </w:pPr>
      <w:r w:rsidRPr="0073024D">
        <w:rPr>
          <w:rFonts w:ascii="Times New Roman" w:hAnsi="Times New Roman" w:cs="Times New Roman"/>
          <w:color w:val="000000"/>
          <w:sz w:val="24"/>
          <w:szCs w:val="24"/>
          <w:lang w:val="en-US"/>
        </w:rPr>
        <w:t>P</w:t>
      </w:r>
      <w:r w:rsidR="00112D21">
        <w:rPr>
          <w:rFonts w:ascii="Times New Roman" w:hAnsi="Times New Roman" w:cs="Times New Roman"/>
          <w:color w:val="000000"/>
          <w:sz w:val="24"/>
          <w:szCs w:val="24"/>
          <w:lang w:val="en-US"/>
        </w:rPr>
        <w:t>roject p</w:t>
      </w:r>
      <w:r w:rsidRPr="0073024D">
        <w:rPr>
          <w:rFonts w:ascii="Times New Roman" w:hAnsi="Times New Roman" w:cs="Times New Roman"/>
          <w:color w:val="000000"/>
          <w:sz w:val="24"/>
          <w:szCs w:val="24"/>
          <w:lang w:val="en-US"/>
        </w:rPr>
        <w:t>roposals must be submitted in English or French (unofficial translations accepted)</w:t>
      </w:r>
      <w:r w:rsidR="00112D21">
        <w:rPr>
          <w:rFonts w:ascii="Times New Roman" w:hAnsi="Times New Roman" w:cs="Times New Roman"/>
          <w:color w:val="000000"/>
          <w:sz w:val="24"/>
          <w:szCs w:val="24"/>
          <w:lang w:val="en-US"/>
        </w:rPr>
        <w:t xml:space="preserve"> for consideration under</w:t>
      </w:r>
      <w:r w:rsidRPr="0073024D">
        <w:rPr>
          <w:rFonts w:ascii="Times New Roman" w:hAnsi="Times New Roman" w:cs="Times New Roman"/>
          <w:color w:val="000000"/>
          <w:sz w:val="24"/>
          <w:szCs w:val="24"/>
          <w:lang w:val="en-US"/>
        </w:rPr>
        <w:t xml:space="preserve"> the first round submission. </w:t>
      </w:r>
    </w:p>
    <w:p w:rsidR="00112D21" w:rsidRPr="00112D21" w:rsidRDefault="00112D21" w:rsidP="00112D21">
      <w:pPr>
        <w:pStyle w:val="ListParagraph"/>
        <w:autoSpaceDE w:val="0"/>
        <w:autoSpaceDN w:val="0"/>
        <w:adjustRightInd w:val="0"/>
        <w:spacing w:after="0" w:line="240" w:lineRule="auto"/>
        <w:rPr>
          <w:rFonts w:ascii="Times New Roman" w:hAnsi="Times New Roman" w:cs="Times New Roman"/>
          <w:color w:val="000000"/>
          <w:sz w:val="24"/>
          <w:szCs w:val="24"/>
          <w:lang w:val="en-US"/>
        </w:rPr>
      </w:pPr>
    </w:p>
    <w:p w:rsidR="00112D21" w:rsidRDefault="0073024D" w:rsidP="00112D21">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lang w:val="en-US"/>
        </w:rPr>
      </w:pPr>
      <w:r w:rsidRPr="0073024D">
        <w:rPr>
          <w:rFonts w:ascii="Times New Roman" w:hAnsi="Times New Roman" w:cs="Times New Roman"/>
          <w:color w:val="000000"/>
          <w:sz w:val="24"/>
          <w:szCs w:val="24"/>
          <w:lang w:val="en-US"/>
        </w:rPr>
        <w:t xml:space="preserve">Only those proposals using the official application form </w:t>
      </w:r>
      <w:r w:rsidR="00112D21">
        <w:rPr>
          <w:rFonts w:ascii="Times New Roman" w:hAnsi="Times New Roman" w:cs="Times New Roman"/>
          <w:color w:val="000000"/>
          <w:sz w:val="24"/>
          <w:szCs w:val="24"/>
          <w:lang w:val="en-US"/>
        </w:rPr>
        <w:t xml:space="preserve">and budget template </w:t>
      </w:r>
      <w:r w:rsidRPr="0073024D">
        <w:rPr>
          <w:rFonts w:ascii="Times New Roman" w:hAnsi="Times New Roman" w:cs="Times New Roman"/>
          <w:color w:val="000000"/>
          <w:sz w:val="24"/>
          <w:szCs w:val="24"/>
          <w:lang w:val="en-US"/>
        </w:rPr>
        <w:t>will be considered.</w:t>
      </w:r>
    </w:p>
    <w:p w:rsidR="00112D21" w:rsidRPr="00112D21" w:rsidRDefault="00112D21" w:rsidP="00112D21">
      <w:pPr>
        <w:autoSpaceDE w:val="0"/>
        <w:autoSpaceDN w:val="0"/>
        <w:adjustRightInd w:val="0"/>
        <w:spacing w:after="0" w:line="240" w:lineRule="auto"/>
        <w:rPr>
          <w:rFonts w:ascii="Times New Roman" w:hAnsi="Times New Roman" w:cs="Times New Roman"/>
          <w:color w:val="000000"/>
          <w:sz w:val="24"/>
          <w:szCs w:val="24"/>
          <w:lang w:val="en-US"/>
        </w:rPr>
      </w:pPr>
    </w:p>
    <w:p w:rsidR="0073024D" w:rsidRDefault="0073024D" w:rsidP="00112D21">
      <w:pPr>
        <w:numPr>
          <w:ilvl w:val="0"/>
          <w:numId w:val="12"/>
        </w:numPr>
        <w:spacing w:after="0" w:line="240" w:lineRule="auto"/>
        <w:rPr>
          <w:rFonts w:ascii="Times New Roman" w:eastAsia="Times New Roman" w:hAnsi="Times New Roman" w:cs="Times New Roman"/>
          <w:color w:val="000000"/>
          <w:sz w:val="24"/>
          <w:szCs w:val="24"/>
          <w:lang w:val="en-CA" w:eastAsia="en-CA"/>
        </w:rPr>
      </w:pPr>
      <w:r w:rsidRPr="0073024D">
        <w:rPr>
          <w:rFonts w:ascii="Times New Roman" w:eastAsia="Times New Roman" w:hAnsi="Times New Roman" w:cs="Times New Roman"/>
          <w:color w:val="000000"/>
          <w:sz w:val="24"/>
          <w:szCs w:val="24"/>
          <w:lang w:val="en-CA" w:eastAsia="en-CA"/>
        </w:rPr>
        <w:t xml:space="preserve">As required in </w:t>
      </w:r>
      <w:r w:rsidR="00112D21">
        <w:rPr>
          <w:rFonts w:ascii="Times New Roman" w:eastAsia="Times New Roman" w:hAnsi="Times New Roman" w:cs="Times New Roman"/>
          <w:color w:val="000000"/>
          <w:sz w:val="24"/>
          <w:szCs w:val="24"/>
          <w:lang w:val="en-CA" w:eastAsia="en-CA"/>
        </w:rPr>
        <w:t xml:space="preserve">the </w:t>
      </w:r>
      <w:r w:rsidRPr="0073024D">
        <w:rPr>
          <w:rFonts w:ascii="Times New Roman" w:eastAsia="Times New Roman" w:hAnsi="Times New Roman" w:cs="Times New Roman"/>
          <w:color w:val="000000"/>
          <w:sz w:val="24"/>
          <w:szCs w:val="24"/>
          <w:lang w:val="en-CA" w:eastAsia="en-CA"/>
        </w:rPr>
        <w:t>project narrative of the application form, each proposal must explicitly answer all stated questions and provide a summary of all project activities. The proposed project budget must reflect the costs associated with each proposed project activity</w:t>
      </w:r>
      <w:r w:rsidR="00112D21">
        <w:rPr>
          <w:rFonts w:ascii="Times New Roman" w:eastAsia="Times New Roman" w:hAnsi="Times New Roman" w:cs="Times New Roman"/>
          <w:color w:val="000000"/>
          <w:sz w:val="24"/>
          <w:szCs w:val="24"/>
          <w:lang w:val="en-CA" w:eastAsia="en-CA"/>
        </w:rPr>
        <w:t>.</w:t>
      </w:r>
    </w:p>
    <w:p w:rsidR="00112D21" w:rsidRPr="0073024D" w:rsidRDefault="00112D21" w:rsidP="00112D21">
      <w:pPr>
        <w:spacing w:after="0" w:line="240" w:lineRule="auto"/>
        <w:rPr>
          <w:rFonts w:ascii="Times New Roman" w:eastAsia="Times New Roman" w:hAnsi="Times New Roman" w:cs="Times New Roman"/>
          <w:color w:val="000000"/>
          <w:sz w:val="24"/>
          <w:szCs w:val="24"/>
          <w:lang w:val="en-CA" w:eastAsia="en-CA"/>
        </w:rPr>
      </w:pPr>
    </w:p>
    <w:p w:rsidR="0073024D" w:rsidRPr="00112D21" w:rsidRDefault="0073024D" w:rsidP="00112D21">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lang w:val="en-US"/>
        </w:rPr>
      </w:pPr>
      <w:r w:rsidRPr="0073024D">
        <w:rPr>
          <w:rFonts w:ascii="Times New Roman" w:hAnsi="Times New Roman" w:cs="Times New Roman"/>
          <w:sz w:val="24"/>
          <w:szCs w:val="24"/>
          <w:lang w:val="en-US"/>
        </w:rPr>
        <w:t xml:space="preserve">Proposals should be submitted electronically to the following e-mail: </w:t>
      </w:r>
      <w:hyperlink r:id="rId9" w:history="1">
        <w:r w:rsidR="00112D21" w:rsidRPr="00A26DD1">
          <w:rPr>
            <w:rStyle w:val="Hyperlink"/>
            <w:rFonts w:ascii="Times New Roman" w:hAnsi="Times New Roman" w:cs="Times New Roman"/>
            <w:sz w:val="24"/>
            <w:szCs w:val="24"/>
            <w:lang w:val="en-US"/>
          </w:rPr>
          <w:t>ASTNAGR2@international.gc.ca</w:t>
        </w:r>
      </w:hyperlink>
    </w:p>
    <w:p w:rsidR="00112D21" w:rsidRDefault="00112D21" w:rsidP="00112D21">
      <w:pPr>
        <w:autoSpaceDE w:val="0"/>
        <w:autoSpaceDN w:val="0"/>
        <w:adjustRightInd w:val="0"/>
        <w:spacing w:after="0" w:line="240" w:lineRule="auto"/>
        <w:ind w:left="360"/>
        <w:rPr>
          <w:rStyle w:val="Hyperlink"/>
          <w:rFonts w:ascii="Times New Roman" w:hAnsi="Times New Roman" w:cs="Times New Roman"/>
          <w:color w:val="000000"/>
          <w:sz w:val="24"/>
          <w:szCs w:val="24"/>
          <w:u w:val="none"/>
          <w:lang w:val="en-US"/>
        </w:rPr>
      </w:pPr>
    </w:p>
    <w:p w:rsidR="00112D21" w:rsidRPr="00112D21" w:rsidRDefault="00112D21" w:rsidP="00112D21">
      <w:pPr>
        <w:pStyle w:val="ListParagraph"/>
        <w:numPr>
          <w:ilvl w:val="0"/>
          <w:numId w:val="13"/>
        </w:numPr>
        <w:spacing w:after="0"/>
        <w:jc w:val="both"/>
        <w:rPr>
          <w:rFonts w:ascii="Times New Roman" w:hAnsi="Times New Roman" w:cs="Times New Roman"/>
          <w:sz w:val="24"/>
          <w:szCs w:val="24"/>
          <w:lang w:val="en-CA"/>
        </w:rPr>
      </w:pPr>
      <w:r w:rsidRPr="00112D21">
        <w:rPr>
          <w:rFonts w:ascii="Times New Roman" w:hAnsi="Times New Roman" w:cs="Times New Roman"/>
          <w:sz w:val="24"/>
          <w:szCs w:val="24"/>
          <w:lang w:val="en-CA"/>
        </w:rPr>
        <w:t>Applications will be assessed on their merits by a Selection Committee. Final selection of projects will be made by the Canadian Ambassador.</w:t>
      </w:r>
    </w:p>
    <w:p w:rsidR="0073024D" w:rsidRPr="00112D21" w:rsidRDefault="0073024D" w:rsidP="00112D21">
      <w:pPr>
        <w:autoSpaceDE w:val="0"/>
        <w:autoSpaceDN w:val="0"/>
        <w:adjustRightInd w:val="0"/>
        <w:spacing w:after="0" w:line="240" w:lineRule="auto"/>
        <w:rPr>
          <w:rStyle w:val="Hyperlink"/>
          <w:rFonts w:ascii="Times New Roman" w:hAnsi="Times New Roman" w:cs="Times New Roman"/>
          <w:b/>
          <w:color w:val="000000"/>
          <w:sz w:val="24"/>
          <w:szCs w:val="24"/>
          <w:highlight w:val="yellow"/>
          <w:u w:val="none"/>
          <w:lang w:val="en-US"/>
        </w:rPr>
      </w:pPr>
    </w:p>
    <w:p w:rsidR="0073024D" w:rsidRDefault="0073024D" w:rsidP="00112D21">
      <w:pPr>
        <w:pStyle w:val="ListParagraph"/>
        <w:numPr>
          <w:ilvl w:val="0"/>
          <w:numId w:val="13"/>
        </w:numPr>
        <w:autoSpaceDE w:val="0"/>
        <w:autoSpaceDN w:val="0"/>
        <w:adjustRightInd w:val="0"/>
        <w:spacing w:after="0" w:line="240" w:lineRule="auto"/>
        <w:rPr>
          <w:rFonts w:ascii="Times New Roman" w:hAnsi="Times New Roman" w:cs="Times New Roman"/>
          <w:b/>
          <w:color w:val="000000"/>
          <w:sz w:val="24"/>
          <w:szCs w:val="24"/>
          <w:lang w:val="en-US"/>
        </w:rPr>
      </w:pPr>
      <w:r w:rsidRPr="00C836AB">
        <w:rPr>
          <w:rFonts w:ascii="Times New Roman" w:hAnsi="Times New Roman" w:cs="Times New Roman"/>
          <w:b/>
          <w:color w:val="000000"/>
          <w:sz w:val="24"/>
          <w:szCs w:val="24"/>
          <w:lang w:val="en-US"/>
        </w:rPr>
        <w:t xml:space="preserve">Project proposals will be considered on a rolling basis, </w:t>
      </w:r>
      <w:r>
        <w:rPr>
          <w:rFonts w:ascii="Times New Roman" w:hAnsi="Times New Roman" w:cs="Times New Roman"/>
          <w:b/>
          <w:color w:val="000000"/>
          <w:sz w:val="24"/>
          <w:szCs w:val="24"/>
          <w:lang w:val="en-US"/>
        </w:rPr>
        <w:t xml:space="preserve">with a first round submission deadline of June 24, 2016. </w:t>
      </w:r>
    </w:p>
    <w:p w:rsidR="00112D21" w:rsidRDefault="00112D21" w:rsidP="00112D21">
      <w:pPr>
        <w:spacing w:after="0"/>
        <w:rPr>
          <w:rFonts w:ascii="Times New Roman" w:hAnsi="Times New Roman" w:cs="Times New Roman"/>
          <w:color w:val="000000"/>
          <w:sz w:val="24"/>
          <w:szCs w:val="24"/>
          <w:lang w:val="en-US"/>
        </w:rPr>
      </w:pPr>
    </w:p>
    <w:p w:rsidR="00112D21" w:rsidRDefault="00112D21" w:rsidP="00112D21">
      <w:pPr>
        <w:spacing w:after="0"/>
        <w:rPr>
          <w:rFonts w:ascii="Times New Roman" w:hAnsi="Times New Roman" w:cs="Times New Roman"/>
          <w:b/>
          <w:sz w:val="24"/>
          <w:szCs w:val="24"/>
          <w:lang w:val="en-US"/>
        </w:rPr>
      </w:pPr>
    </w:p>
    <w:p w:rsidR="00501AE5" w:rsidRDefault="0097056C" w:rsidP="00112D21">
      <w:pPr>
        <w:spacing w:after="0"/>
        <w:rPr>
          <w:rFonts w:ascii="Times New Roman" w:hAnsi="Times New Roman" w:cs="Times New Roman"/>
          <w:b/>
          <w:sz w:val="24"/>
          <w:szCs w:val="24"/>
          <w:lang w:val="en-US"/>
        </w:rPr>
      </w:pPr>
      <w:r w:rsidRPr="00360B0B">
        <w:rPr>
          <w:rFonts w:ascii="Times New Roman" w:hAnsi="Times New Roman" w:cs="Times New Roman"/>
          <w:b/>
          <w:sz w:val="24"/>
          <w:szCs w:val="24"/>
          <w:lang w:val="en-US"/>
        </w:rPr>
        <w:t>Who Is Eligible to Submit a Proposal?</w:t>
      </w:r>
    </w:p>
    <w:p w:rsidR="00112D21" w:rsidRPr="00360B0B" w:rsidRDefault="00112D21" w:rsidP="00112D21">
      <w:pPr>
        <w:spacing w:after="0"/>
        <w:rPr>
          <w:rFonts w:ascii="Times New Roman" w:hAnsi="Times New Roman" w:cs="Times New Roman"/>
          <w:b/>
          <w:sz w:val="24"/>
          <w:szCs w:val="24"/>
          <w:lang w:val="en-US"/>
        </w:rPr>
      </w:pPr>
    </w:p>
    <w:p w:rsidR="00501AE5" w:rsidRPr="00360B0B" w:rsidRDefault="00501AE5" w:rsidP="00112D21">
      <w:pPr>
        <w:pStyle w:val="Default"/>
        <w:numPr>
          <w:ilvl w:val="0"/>
          <w:numId w:val="1"/>
        </w:numPr>
        <w:rPr>
          <w:lang w:val="en-US"/>
        </w:rPr>
      </w:pPr>
      <w:r w:rsidRPr="00360B0B">
        <w:rPr>
          <w:lang w:val="en-US"/>
        </w:rPr>
        <w:t xml:space="preserve">local non-governmental, community and not-for-profit organizations, </w:t>
      </w:r>
    </w:p>
    <w:p w:rsidR="00501AE5" w:rsidRPr="00360B0B" w:rsidRDefault="00501AE5" w:rsidP="00112D21">
      <w:pPr>
        <w:pStyle w:val="Default"/>
        <w:numPr>
          <w:ilvl w:val="0"/>
          <w:numId w:val="1"/>
        </w:numPr>
        <w:rPr>
          <w:lang w:val="en-US"/>
        </w:rPr>
      </w:pPr>
      <w:r w:rsidRPr="00360B0B">
        <w:rPr>
          <w:lang w:val="en-US"/>
        </w:rPr>
        <w:t xml:space="preserve">local academic institutions working on local projects, </w:t>
      </w:r>
    </w:p>
    <w:p w:rsidR="00501AE5" w:rsidRPr="00360B0B" w:rsidRDefault="00501AE5" w:rsidP="00112D21">
      <w:pPr>
        <w:pStyle w:val="Default"/>
        <w:numPr>
          <w:ilvl w:val="0"/>
          <w:numId w:val="1"/>
        </w:numPr>
        <w:rPr>
          <w:lang w:val="en-US"/>
        </w:rPr>
      </w:pPr>
      <w:r w:rsidRPr="00360B0B">
        <w:rPr>
          <w:lang w:val="en-US"/>
        </w:rPr>
        <w:t xml:space="preserve">international, intergovernmental, multilateral and regional institutions, organizations and agencies working on local development activities, </w:t>
      </w:r>
    </w:p>
    <w:p w:rsidR="00501AE5" w:rsidRPr="00360B0B" w:rsidRDefault="00501AE5" w:rsidP="00112D21">
      <w:pPr>
        <w:pStyle w:val="Default"/>
        <w:numPr>
          <w:ilvl w:val="0"/>
          <w:numId w:val="1"/>
        </w:numPr>
        <w:rPr>
          <w:lang w:val="en-US"/>
        </w:rPr>
      </w:pPr>
      <w:r w:rsidRPr="00360B0B">
        <w:rPr>
          <w:lang w:val="en-US"/>
        </w:rPr>
        <w:t xml:space="preserve">municipal, regional or national government institutions or agencies of the recipient country working on local projects, and </w:t>
      </w:r>
    </w:p>
    <w:p w:rsidR="007D31D3" w:rsidRPr="00360B0B" w:rsidRDefault="00501AE5" w:rsidP="00112D21">
      <w:pPr>
        <w:pStyle w:val="Default"/>
        <w:numPr>
          <w:ilvl w:val="0"/>
          <w:numId w:val="1"/>
        </w:numPr>
        <w:rPr>
          <w:lang w:val="en-US"/>
        </w:rPr>
      </w:pPr>
      <w:r w:rsidRPr="00360B0B">
        <w:rPr>
          <w:lang w:val="en-US"/>
        </w:rPr>
        <w:t xml:space="preserve">Canadian non-governmental and not-for-profit organizations that are working on local development activities. </w:t>
      </w:r>
    </w:p>
    <w:p w:rsidR="007C45E2" w:rsidRPr="00D8313A" w:rsidRDefault="007C45E2" w:rsidP="00112D21">
      <w:pPr>
        <w:pStyle w:val="Default"/>
        <w:ind w:left="720"/>
        <w:rPr>
          <w:sz w:val="12"/>
          <w:szCs w:val="12"/>
          <w:lang w:val="en-US"/>
        </w:rPr>
      </w:pPr>
    </w:p>
    <w:p w:rsidR="00360B0B" w:rsidRPr="00D8313A" w:rsidRDefault="007D31D3" w:rsidP="00112D21">
      <w:pPr>
        <w:pStyle w:val="Default"/>
        <w:rPr>
          <w:color w:val="auto"/>
          <w:lang w:val="en-US"/>
        </w:rPr>
      </w:pPr>
      <w:r w:rsidRPr="00360B0B">
        <w:rPr>
          <w:color w:val="auto"/>
          <w:lang w:val="en-US"/>
        </w:rPr>
        <w:t>The majority of CFLI funding is to be directed toward local civil society organizations (including non-governmental organizations) and other institutions working at the local level. Other entities, such as international, intergovernmental, multilateral and regional organizations can be eligible for a contribution, provided that they are working with local partners and on local projects that are consistent with the objectives of the CFLI. Similarly, municipal, regional or national government institutions may receive CFLI funding, provided that their projects are essentially local in nature.</w:t>
      </w:r>
    </w:p>
    <w:p w:rsidR="00360B0B" w:rsidRPr="00B4620F" w:rsidRDefault="00360B0B" w:rsidP="005F7FD8">
      <w:pPr>
        <w:pStyle w:val="Default"/>
        <w:rPr>
          <w:b/>
          <w:lang w:val="en-US"/>
        </w:rPr>
      </w:pPr>
    </w:p>
    <w:p w:rsidR="00535664" w:rsidRDefault="00535664" w:rsidP="005F7FD8">
      <w:pPr>
        <w:pStyle w:val="Default"/>
        <w:rPr>
          <w:b/>
          <w:lang w:val="en-US"/>
        </w:rPr>
      </w:pPr>
    </w:p>
    <w:p w:rsidR="008C59B7" w:rsidRPr="00360B0B" w:rsidRDefault="008C59B7" w:rsidP="005F7FD8">
      <w:pPr>
        <w:pStyle w:val="Default"/>
        <w:rPr>
          <w:lang w:val="en-US"/>
        </w:rPr>
      </w:pPr>
      <w:r w:rsidRPr="00360B0B">
        <w:rPr>
          <w:b/>
          <w:lang w:val="en-US"/>
        </w:rPr>
        <w:lastRenderedPageBreak/>
        <w:t>Eligible Activities:</w:t>
      </w:r>
    </w:p>
    <w:p w:rsidR="008C59B7" w:rsidRPr="00360B0B" w:rsidRDefault="008C59B7" w:rsidP="005F7FD8">
      <w:pPr>
        <w:pStyle w:val="Default"/>
        <w:rPr>
          <w:lang w:val="en-US"/>
        </w:rPr>
      </w:pPr>
    </w:p>
    <w:p w:rsidR="001F451A" w:rsidRPr="00360B0B" w:rsidRDefault="008C59B7" w:rsidP="005F7FD8">
      <w:pPr>
        <w:pStyle w:val="Default"/>
        <w:rPr>
          <w:lang w:val="en-US"/>
        </w:rPr>
      </w:pPr>
      <w:r w:rsidRPr="00360B0B">
        <w:rPr>
          <w:lang w:val="en-US"/>
        </w:rPr>
        <w:t xml:space="preserve">Eligible activities must be directly related to the </w:t>
      </w:r>
      <w:r w:rsidR="001347E5" w:rsidRPr="00360B0B">
        <w:rPr>
          <w:lang w:val="en-US"/>
        </w:rPr>
        <w:t xml:space="preserve">delivery </w:t>
      </w:r>
      <w:r w:rsidR="001347E5">
        <w:rPr>
          <w:lang w:val="en-US"/>
        </w:rPr>
        <w:t xml:space="preserve">of the proposed </w:t>
      </w:r>
      <w:r w:rsidRPr="00360B0B">
        <w:rPr>
          <w:lang w:val="en-US"/>
        </w:rPr>
        <w:t>project</w:t>
      </w:r>
      <w:r w:rsidR="001F451A" w:rsidRPr="00360B0B">
        <w:rPr>
          <w:lang w:val="en-US"/>
        </w:rPr>
        <w:t>. The following are examples of eligible types of activities:</w:t>
      </w:r>
    </w:p>
    <w:p w:rsidR="008C59B7" w:rsidRPr="00360B0B" w:rsidRDefault="008C59B7" w:rsidP="005F7FD8">
      <w:pPr>
        <w:pStyle w:val="Default"/>
        <w:rPr>
          <w:lang w:val="en-US"/>
        </w:rPr>
      </w:pPr>
    </w:p>
    <w:p w:rsidR="009636F4" w:rsidRPr="00360B0B" w:rsidRDefault="008C59B7">
      <w:pPr>
        <w:pStyle w:val="Default"/>
        <w:numPr>
          <w:ilvl w:val="0"/>
          <w:numId w:val="11"/>
        </w:numPr>
        <w:rPr>
          <w:lang w:val="en-US"/>
        </w:rPr>
      </w:pPr>
      <w:r w:rsidRPr="00360B0B">
        <w:rPr>
          <w:lang w:val="en-US"/>
        </w:rPr>
        <w:t>conducting advocacy</w:t>
      </w:r>
      <w:r w:rsidR="001347E5">
        <w:rPr>
          <w:lang w:val="en-US"/>
        </w:rPr>
        <w:t>;</w:t>
      </w:r>
    </w:p>
    <w:p w:rsidR="009636F4" w:rsidRPr="00360B0B" w:rsidRDefault="008C59B7">
      <w:pPr>
        <w:pStyle w:val="Default"/>
        <w:numPr>
          <w:ilvl w:val="0"/>
          <w:numId w:val="11"/>
        </w:numPr>
        <w:rPr>
          <w:lang w:val="en-US"/>
        </w:rPr>
      </w:pPr>
      <w:r w:rsidRPr="00360B0B">
        <w:rPr>
          <w:lang w:val="en-US"/>
        </w:rPr>
        <w:t>providing training or education</w:t>
      </w:r>
      <w:r w:rsidR="001347E5">
        <w:rPr>
          <w:lang w:val="en-US"/>
        </w:rPr>
        <w:t>;</w:t>
      </w:r>
      <w:r w:rsidRPr="00360B0B">
        <w:rPr>
          <w:lang w:val="en-US"/>
        </w:rPr>
        <w:t xml:space="preserve"> </w:t>
      </w:r>
    </w:p>
    <w:p w:rsidR="009636F4" w:rsidRPr="00360B0B" w:rsidRDefault="008C59B7">
      <w:pPr>
        <w:pStyle w:val="Default"/>
        <w:numPr>
          <w:ilvl w:val="0"/>
          <w:numId w:val="11"/>
        </w:numPr>
        <w:rPr>
          <w:lang w:val="en-US"/>
        </w:rPr>
      </w:pPr>
      <w:r w:rsidRPr="00360B0B">
        <w:rPr>
          <w:lang w:val="en-US"/>
        </w:rPr>
        <w:t>providing technical expertise</w:t>
      </w:r>
      <w:r w:rsidR="001347E5">
        <w:rPr>
          <w:lang w:val="en-US"/>
        </w:rPr>
        <w:t>;</w:t>
      </w:r>
      <w:r w:rsidRPr="00360B0B">
        <w:rPr>
          <w:lang w:val="en-US"/>
        </w:rPr>
        <w:t xml:space="preserve"> </w:t>
      </w:r>
    </w:p>
    <w:p w:rsidR="009636F4" w:rsidRPr="00360B0B" w:rsidRDefault="008C59B7">
      <w:pPr>
        <w:pStyle w:val="Default"/>
        <w:numPr>
          <w:ilvl w:val="0"/>
          <w:numId w:val="11"/>
        </w:numPr>
        <w:rPr>
          <w:lang w:val="en-US"/>
        </w:rPr>
      </w:pPr>
      <w:r w:rsidRPr="00360B0B">
        <w:rPr>
          <w:lang w:val="en-US"/>
        </w:rPr>
        <w:t>conducting research or reporting</w:t>
      </w:r>
      <w:r w:rsidR="001347E5">
        <w:rPr>
          <w:lang w:val="en-US"/>
        </w:rPr>
        <w:t>;</w:t>
      </w:r>
      <w:r w:rsidRPr="00360B0B">
        <w:rPr>
          <w:lang w:val="en-US"/>
        </w:rPr>
        <w:t xml:space="preserve"> </w:t>
      </w:r>
    </w:p>
    <w:p w:rsidR="009636F4" w:rsidRPr="00360B0B" w:rsidRDefault="008C59B7">
      <w:pPr>
        <w:pStyle w:val="Default"/>
        <w:numPr>
          <w:ilvl w:val="0"/>
          <w:numId w:val="11"/>
        </w:numPr>
        <w:rPr>
          <w:lang w:val="en-US"/>
        </w:rPr>
      </w:pPr>
      <w:r w:rsidRPr="00360B0B">
        <w:rPr>
          <w:lang w:val="en-US"/>
        </w:rPr>
        <w:t>providing or repairing infrastructure</w:t>
      </w:r>
      <w:r w:rsidR="001347E5">
        <w:rPr>
          <w:lang w:val="en-US"/>
        </w:rPr>
        <w:t>;</w:t>
      </w:r>
      <w:r w:rsidRPr="00360B0B">
        <w:rPr>
          <w:lang w:val="en-US"/>
        </w:rPr>
        <w:t xml:space="preserve"> </w:t>
      </w:r>
    </w:p>
    <w:p w:rsidR="009636F4" w:rsidRPr="00360B0B" w:rsidRDefault="008C59B7">
      <w:pPr>
        <w:pStyle w:val="Default"/>
        <w:numPr>
          <w:ilvl w:val="0"/>
          <w:numId w:val="11"/>
        </w:numPr>
        <w:rPr>
          <w:lang w:val="en-US"/>
        </w:rPr>
      </w:pPr>
      <w:r w:rsidRPr="00360B0B">
        <w:rPr>
          <w:lang w:val="en-US"/>
        </w:rPr>
        <w:t>providing equipment</w:t>
      </w:r>
      <w:r w:rsidR="001347E5">
        <w:rPr>
          <w:lang w:val="en-US"/>
        </w:rPr>
        <w:t>;</w:t>
      </w:r>
      <w:r w:rsidRPr="00360B0B">
        <w:rPr>
          <w:lang w:val="en-US"/>
        </w:rPr>
        <w:t xml:space="preserve"> </w:t>
      </w:r>
    </w:p>
    <w:p w:rsidR="009636F4" w:rsidRPr="00360B0B" w:rsidRDefault="008C59B7">
      <w:pPr>
        <w:pStyle w:val="Default"/>
        <w:numPr>
          <w:ilvl w:val="0"/>
          <w:numId w:val="11"/>
        </w:numPr>
        <w:rPr>
          <w:lang w:val="en-US"/>
        </w:rPr>
      </w:pPr>
      <w:proofErr w:type="gramStart"/>
      <w:r w:rsidRPr="00360B0B">
        <w:rPr>
          <w:lang w:val="en-US"/>
        </w:rPr>
        <w:t>delivering</w:t>
      </w:r>
      <w:proofErr w:type="gramEnd"/>
      <w:r w:rsidRPr="00360B0B">
        <w:rPr>
          <w:lang w:val="en-US"/>
        </w:rPr>
        <w:t xml:space="preserve"> supplies</w:t>
      </w:r>
      <w:r w:rsidR="001347E5">
        <w:rPr>
          <w:lang w:val="en-US"/>
        </w:rPr>
        <w:t>.</w:t>
      </w:r>
      <w:r w:rsidRPr="00360B0B">
        <w:rPr>
          <w:lang w:val="en-US"/>
        </w:rPr>
        <w:t xml:space="preserve"> </w:t>
      </w:r>
    </w:p>
    <w:p w:rsidR="008C59B7" w:rsidRPr="00360B0B" w:rsidRDefault="008C59B7" w:rsidP="005F7FD8">
      <w:pPr>
        <w:pStyle w:val="Default"/>
        <w:rPr>
          <w:b/>
          <w:lang w:val="en-US"/>
        </w:rPr>
      </w:pPr>
    </w:p>
    <w:p w:rsidR="00535664" w:rsidRDefault="00535664" w:rsidP="005F7FD8">
      <w:pPr>
        <w:pStyle w:val="Default"/>
        <w:rPr>
          <w:b/>
          <w:lang w:val="en-US"/>
        </w:rPr>
      </w:pPr>
    </w:p>
    <w:p w:rsidR="00935E45" w:rsidRPr="00360B0B" w:rsidRDefault="008C0353" w:rsidP="005F7FD8">
      <w:pPr>
        <w:pStyle w:val="Default"/>
        <w:rPr>
          <w:b/>
          <w:lang w:val="en-US"/>
        </w:rPr>
      </w:pPr>
      <w:r w:rsidRPr="00360B0B">
        <w:rPr>
          <w:b/>
          <w:lang w:val="en-US"/>
        </w:rPr>
        <w:t xml:space="preserve">Eligible </w:t>
      </w:r>
      <w:r w:rsidR="00EB6693" w:rsidRPr="00360B0B">
        <w:rPr>
          <w:b/>
          <w:lang w:val="en-US"/>
        </w:rPr>
        <w:t>C</w:t>
      </w:r>
      <w:r w:rsidRPr="00360B0B">
        <w:rPr>
          <w:b/>
          <w:lang w:val="en-US"/>
        </w:rPr>
        <w:t>osts:</w:t>
      </w:r>
    </w:p>
    <w:p w:rsidR="008C0353" w:rsidRPr="00360B0B" w:rsidRDefault="008C0353" w:rsidP="005F7FD8">
      <w:pPr>
        <w:pStyle w:val="Default"/>
        <w:rPr>
          <w:lang w:val="en-US"/>
        </w:rPr>
      </w:pPr>
    </w:p>
    <w:p w:rsidR="005F7FD8" w:rsidRPr="00360B0B" w:rsidRDefault="001347E5" w:rsidP="005F7FD8">
      <w:pPr>
        <w:pStyle w:val="Default"/>
        <w:rPr>
          <w:lang w:val="en-US"/>
        </w:rPr>
      </w:pPr>
      <w:r>
        <w:rPr>
          <w:lang w:val="en-US"/>
        </w:rPr>
        <w:t xml:space="preserve">When a signed </w:t>
      </w:r>
      <w:r w:rsidRPr="00360B0B">
        <w:rPr>
          <w:lang w:val="en-US"/>
        </w:rPr>
        <w:t>contribution agreement</w:t>
      </w:r>
      <w:r>
        <w:rPr>
          <w:lang w:val="en-US"/>
        </w:rPr>
        <w:t xml:space="preserve"> is in place,</w:t>
      </w:r>
      <w:r w:rsidRPr="00360B0B">
        <w:rPr>
          <w:lang w:val="en-US"/>
        </w:rPr>
        <w:t xml:space="preserve"> </w:t>
      </w:r>
      <w:r w:rsidR="005F7FD8" w:rsidRPr="00360B0B">
        <w:rPr>
          <w:lang w:val="en-US"/>
        </w:rPr>
        <w:t xml:space="preserve">CFLI funds can be disbursed to cover costs that are integral to </w:t>
      </w:r>
      <w:r>
        <w:rPr>
          <w:lang w:val="en-US"/>
        </w:rPr>
        <w:t>the implementation of the agreed</w:t>
      </w:r>
      <w:r w:rsidR="005F7FD8" w:rsidRPr="00360B0B">
        <w:rPr>
          <w:lang w:val="en-US"/>
        </w:rPr>
        <w:t xml:space="preserve"> project. The CFLI cannot be used to pay for operating costs or ongoing expenses of an organization (i.e. salaries, utilities, rent, etc.). The following list of costs </w:t>
      </w:r>
      <w:r w:rsidR="00EB6693" w:rsidRPr="00360B0B">
        <w:rPr>
          <w:lang w:val="en-US"/>
        </w:rPr>
        <w:t>indicates</w:t>
      </w:r>
      <w:r w:rsidR="005F7FD8" w:rsidRPr="00360B0B">
        <w:rPr>
          <w:lang w:val="en-US"/>
        </w:rPr>
        <w:t xml:space="preserve"> the range of costs that are eligible under the Program: </w:t>
      </w:r>
    </w:p>
    <w:p w:rsidR="008C0353" w:rsidRPr="00360B0B" w:rsidRDefault="008C0353" w:rsidP="005F7FD8">
      <w:pPr>
        <w:pStyle w:val="Default"/>
        <w:rPr>
          <w:lang w:val="en-US"/>
        </w:rPr>
      </w:pPr>
    </w:p>
    <w:p w:rsidR="005F7FD8" w:rsidRPr="00360B0B" w:rsidRDefault="005F7FD8" w:rsidP="008C0353">
      <w:pPr>
        <w:pStyle w:val="Default"/>
        <w:numPr>
          <w:ilvl w:val="0"/>
          <w:numId w:val="5"/>
        </w:numPr>
        <w:rPr>
          <w:lang w:val="en-US"/>
        </w:rPr>
      </w:pPr>
      <w:r w:rsidRPr="00360B0B">
        <w:rPr>
          <w:lang w:val="en-US"/>
        </w:rPr>
        <w:t xml:space="preserve">administrative and overhead costs related to the project, </w:t>
      </w:r>
    </w:p>
    <w:p w:rsidR="005F7FD8" w:rsidRPr="00360B0B" w:rsidRDefault="005F7FD8" w:rsidP="008C0353">
      <w:pPr>
        <w:pStyle w:val="Default"/>
        <w:numPr>
          <w:ilvl w:val="0"/>
          <w:numId w:val="5"/>
        </w:numPr>
        <w:rPr>
          <w:lang w:val="en-US"/>
        </w:rPr>
      </w:pPr>
      <w:r w:rsidRPr="00360B0B">
        <w:rPr>
          <w:lang w:val="en-US"/>
        </w:rPr>
        <w:t xml:space="preserve">capital and/or operating expenditures related to the lease and/or purchase and/or building of infrastructure, </w:t>
      </w:r>
    </w:p>
    <w:p w:rsidR="005F7FD8" w:rsidRPr="00360B0B" w:rsidRDefault="005F7FD8" w:rsidP="008C0353">
      <w:pPr>
        <w:pStyle w:val="Default"/>
        <w:numPr>
          <w:ilvl w:val="0"/>
          <w:numId w:val="5"/>
        </w:numPr>
        <w:rPr>
          <w:lang w:val="en-US"/>
        </w:rPr>
      </w:pPr>
      <w:r w:rsidRPr="00360B0B">
        <w:rPr>
          <w:lang w:val="en-US"/>
        </w:rPr>
        <w:t xml:space="preserve">installation, maintenance, shipping and/or transportation costs, including fuel, computers and communication devices, </w:t>
      </w:r>
    </w:p>
    <w:p w:rsidR="005F7FD8" w:rsidRPr="00360B0B" w:rsidRDefault="005F7FD8" w:rsidP="008C0353">
      <w:pPr>
        <w:pStyle w:val="Default"/>
        <w:numPr>
          <w:ilvl w:val="0"/>
          <w:numId w:val="5"/>
        </w:numPr>
        <w:rPr>
          <w:lang w:val="en-US"/>
        </w:rPr>
      </w:pPr>
      <w:r w:rsidRPr="00360B0B">
        <w:rPr>
          <w:lang w:val="en-US"/>
        </w:rPr>
        <w:t xml:space="preserve">civic education costs, </w:t>
      </w:r>
    </w:p>
    <w:p w:rsidR="005F7FD8" w:rsidRPr="00360B0B" w:rsidRDefault="005F7FD8" w:rsidP="008C0353">
      <w:pPr>
        <w:pStyle w:val="Default"/>
        <w:numPr>
          <w:ilvl w:val="0"/>
          <w:numId w:val="5"/>
        </w:numPr>
        <w:rPr>
          <w:lang w:val="en-US"/>
        </w:rPr>
      </w:pPr>
      <w:r w:rsidRPr="00360B0B">
        <w:rPr>
          <w:lang w:val="en-US"/>
        </w:rPr>
        <w:t xml:space="preserve">conference and event expenditures, </w:t>
      </w:r>
    </w:p>
    <w:p w:rsidR="005F7FD8" w:rsidRPr="00360B0B" w:rsidRDefault="005F7FD8" w:rsidP="008C0353">
      <w:pPr>
        <w:pStyle w:val="Default"/>
        <w:numPr>
          <w:ilvl w:val="0"/>
          <w:numId w:val="5"/>
        </w:numPr>
        <w:rPr>
          <w:lang w:val="en-US"/>
        </w:rPr>
      </w:pPr>
      <w:r w:rsidRPr="00360B0B">
        <w:rPr>
          <w:lang w:val="en-US"/>
        </w:rPr>
        <w:t>hospitality costs</w:t>
      </w:r>
      <w:r w:rsidR="00826886" w:rsidRPr="00360B0B">
        <w:rPr>
          <w:lang w:val="en-US"/>
        </w:rPr>
        <w:t>, excluding alcoholic beverages,</w:t>
      </w:r>
    </w:p>
    <w:p w:rsidR="005F7FD8" w:rsidRPr="00360B0B" w:rsidRDefault="005F7FD8" w:rsidP="008C0353">
      <w:pPr>
        <w:pStyle w:val="Default"/>
        <w:numPr>
          <w:ilvl w:val="0"/>
          <w:numId w:val="5"/>
        </w:numPr>
        <w:rPr>
          <w:lang w:val="en-US"/>
        </w:rPr>
      </w:pPr>
      <w:r w:rsidRPr="00360B0B">
        <w:rPr>
          <w:lang w:val="en-US"/>
        </w:rPr>
        <w:t xml:space="preserve">training and capacity building expenditures, </w:t>
      </w:r>
    </w:p>
    <w:p w:rsidR="005F7FD8" w:rsidRPr="00360B0B" w:rsidRDefault="005F7FD8" w:rsidP="008C0353">
      <w:pPr>
        <w:pStyle w:val="Default"/>
        <w:numPr>
          <w:ilvl w:val="0"/>
          <w:numId w:val="5"/>
        </w:numPr>
        <w:rPr>
          <w:lang w:val="en-US"/>
        </w:rPr>
      </w:pPr>
      <w:r w:rsidRPr="00360B0B">
        <w:rPr>
          <w:lang w:val="en-US"/>
        </w:rPr>
        <w:t xml:space="preserve">costs of services received by recipients, </w:t>
      </w:r>
    </w:p>
    <w:p w:rsidR="005F7FD8" w:rsidRPr="00360B0B" w:rsidRDefault="005F7FD8" w:rsidP="008C0353">
      <w:pPr>
        <w:pStyle w:val="Default"/>
        <w:numPr>
          <w:ilvl w:val="0"/>
          <w:numId w:val="5"/>
        </w:numPr>
        <w:rPr>
          <w:lang w:val="en-US"/>
        </w:rPr>
      </w:pPr>
      <w:r w:rsidRPr="00360B0B">
        <w:rPr>
          <w:lang w:val="en-US"/>
        </w:rPr>
        <w:t xml:space="preserve">outreach, communication and information dissemination costs, </w:t>
      </w:r>
    </w:p>
    <w:p w:rsidR="005F7FD8" w:rsidRPr="00360B0B" w:rsidRDefault="005F7FD8" w:rsidP="008C0353">
      <w:pPr>
        <w:pStyle w:val="Default"/>
        <w:numPr>
          <w:ilvl w:val="0"/>
          <w:numId w:val="5"/>
        </w:numPr>
        <w:rPr>
          <w:lang w:val="en-US"/>
        </w:rPr>
      </w:pPr>
      <w:r w:rsidRPr="00360B0B">
        <w:rPr>
          <w:lang w:val="en-US"/>
        </w:rPr>
        <w:t xml:space="preserve">environmental assessment costs, </w:t>
      </w:r>
    </w:p>
    <w:p w:rsidR="005F7FD8" w:rsidRPr="00360B0B" w:rsidRDefault="005F7FD8" w:rsidP="008C0353">
      <w:pPr>
        <w:pStyle w:val="Default"/>
        <w:numPr>
          <w:ilvl w:val="0"/>
          <w:numId w:val="5"/>
        </w:numPr>
        <w:rPr>
          <w:lang w:val="en-US"/>
        </w:rPr>
      </w:pPr>
      <w:r w:rsidRPr="00360B0B">
        <w:rPr>
          <w:lang w:val="en-US"/>
        </w:rPr>
        <w:t xml:space="preserve">advocacy and lobbying related costs, </w:t>
      </w:r>
    </w:p>
    <w:p w:rsidR="005F7FD8" w:rsidRPr="00360B0B" w:rsidRDefault="005F7FD8" w:rsidP="008C0353">
      <w:pPr>
        <w:pStyle w:val="Default"/>
        <w:numPr>
          <w:ilvl w:val="0"/>
          <w:numId w:val="5"/>
        </w:numPr>
        <w:rPr>
          <w:lang w:val="en-US"/>
        </w:rPr>
      </w:pPr>
      <w:r w:rsidRPr="00360B0B">
        <w:rPr>
          <w:lang w:val="en-US"/>
        </w:rPr>
        <w:t xml:space="preserve">legal costs, </w:t>
      </w:r>
    </w:p>
    <w:p w:rsidR="005F7FD8" w:rsidRPr="00360B0B" w:rsidRDefault="005F7FD8" w:rsidP="008C0353">
      <w:pPr>
        <w:pStyle w:val="Default"/>
        <w:numPr>
          <w:ilvl w:val="0"/>
          <w:numId w:val="5"/>
        </w:numPr>
        <w:rPr>
          <w:lang w:val="en-US"/>
        </w:rPr>
      </w:pPr>
      <w:r w:rsidRPr="00360B0B">
        <w:rPr>
          <w:lang w:val="en-US"/>
        </w:rPr>
        <w:t xml:space="preserve">accounting costs, </w:t>
      </w:r>
    </w:p>
    <w:p w:rsidR="005F7FD8" w:rsidRPr="00360B0B" w:rsidRDefault="005F7FD8" w:rsidP="008C0353">
      <w:pPr>
        <w:pStyle w:val="Default"/>
        <w:numPr>
          <w:ilvl w:val="0"/>
          <w:numId w:val="5"/>
        </w:numPr>
        <w:rPr>
          <w:lang w:val="en-US"/>
        </w:rPr>
      </w:pPr>
      <w:r w:rsidRPr="00360B0B">
        <w:rPr>
          <w:lang w:val="en-US"/>
        </w:rPr>
        <w:t xml:space="preserve">medical costs, </w:t>
      </w:r>
    </w:p>
    <w:p w:rsidR="005F7FD8" w:rsidRPr="00360B0B" w:rsidRDefault="005F7FD8" w:rsidP="008C0353">
      <w:pPr>
        <w:pStyle w:val="Default"/>
        <w:numPr>
          <w:ilvl w:val="0"/>
          <w:numId w:val="5"/>
        </w:numPr>
        <w:rPr>
          <w:lang w:val="en-US"/>
        </w:rPr>
      </w:pPr>
      <w:r w:rsidRPr="00360B0B">
        <w:rPr>
          <w:lang w:val="en-US"/>
        </w:rPr>
        <w:t xml:space="preserve">publishing costs, </w:t>
      </w:r>
    </w:p>
    <w:p w:rsidR="005F7FD8" w:rsidRPr="00360B0B" w:rsidRDefault="005F7FD8" w:rsidP="008C0353">
      <w:pPr>
        <w:pStyle w:val="Default"/>
        <w:numPr>
          <w:ilvl w:val="0"/>
          <w:numId w:val="5"/>
        </w:numPr>
        <w:rPr>
          <w:lang w:val="en-US"/>
        </w:rPr>
      </w:pPr>
      <w:r w:rsidRPr="00360B0B">
        <w:rPr>
          <w:lang w:val="en-US"/>
        </w:rPr>
        <w:t xml:space="preserve">radio and television broadcast fees, </w:t>
      </w:r>
    </w:p>
    <w:p w:rsidR="005F7FD8" w:rsidRPr="00360B0B" w:rsidRDefault="005F7FD8" w:rsidP="008C0353">
      <w:pPr>
        <w:pStyle w:val="Default"/>
        <w:numPr>
          <w:ilvl w:val="0"/>
          <w:numId w:val="5"/>
        </w:numPr>
        <w:rPr>
          <w:lang w:val="en-US"/>
        </w:rPr>
      </w:pPr>
      <w:r w:rsidRPr="00360B0B">
        <w:rPr>
          <w:lang w:val="en-US"/>
        </w:rPr>
        <w:t xml:space="preserve">facilities and equipment rental charges, </w:t>
      </w:r>
    </w:p>
    <w:p w:rsidR="005F7FD8" w:rsidRPr="00360B0B" w:rsidRDefault="005F7FD8" w:rsidP="008C0353">
      <w:pPr>
        <w:pStyle w:val="Default"/>
        <w:numPr>
          <w:ilvl w:val="0"/>
          <w:numId w:val="5"/>
        </w:numPr>
        <w:rPr>
          <w:lang w:val="en-US"/>
        </w:rPr>
      </w:pPr>
      <w:r w:rsidRPr="00360B0B">
        <w:rPr>
          <w:lang w:val="en-US"/>
        </w:rPr>
        <w:t xml:space="preserve">research-related costs, </w:t>
      </w:r>
    </w:p>
    <w:p w:rsidR="005F7FD8" w:rsidRPr="00360B0B" w:rsidRDefault="005F7FD8" w:rsidP="008C0353">
      <w:pPr>
        <w:pStyle w:val="Default"/>
        <w:numPr>
          <w:ilvl w:val="0"/>
          <w:numId w:val="5"/>
        </w:numPr>
        <w:rPr>
          <w:lang w:val="en-US"/>
        </w:rPr>
      </w:pPr>
      <w:r w:rsidRPr="00360B0B">
        <w:rPr>
          <w:lang w:val="en-US"/>
        </w:rPr>
        <w:t xml:space="preserve">salary costs </w:t>
      </w:r>
      <w:r w:rsidRPr="00360B0B">
        <w:rPr>
          <w:u w:val="single"/>
          <w:lang w:val="en-US"/>
        </w:rPr>
        <w:t>relating to the project</w:t>
      </w:r>
      <w:r w:rsidRPr="00360B0B">
        <w:rPr>
          <w:lang w:val="en-US"/>
        </w:rPr>
        <w:t xml:space="preserve">, </w:t>
      </w:r>
    </w:p>
    <w:p w:rsidR="005F7FD8" w:rsidRPr="00360B0B" w:rsidRDefault="005F7FD8" w:rsidP="008C0353">
      <w:pPr>
        <w:pStyle w:val="Default"/>
        <w:numPr>
          <w:ilvl w:val="0"/>
          <w:numId w:val="5"/>
        </w:numPr>
        <w:rPr>
          <w:lang w:val="en-US"/>
        </w:rPr>
      </w:pPr>
      <w:r w:rsidRPr="00360B0B">
        <w:rPr>
          <w:lang w:val="en-US"/>
        </w:rPr>
        <w:t xml:space="preserve">security costs, </w:t>
      </w:r>
    </w:p>
    <w:p w:rsidR="005F7FD8" w:rsidRPr="00360B0B" w:rsidRDefault="005F7FD8" w:rsidP="008C0353">
      <w:pPr>
        <w:pStyle w:val="Default"/>
        <w:numPr>
          <w:ilvl w:val="0"/>
          <w:numId w:val="5"/>
        </w:numPr>
        <w:rPr>
          <w:lang w:val="en-US"/>
        </w:rPr>
      </w:pPr>
      <w:r w:rsidRPr="00360B0B">
        <w:rPr>
          <w:lang w:val="en-US"/>
        </w:rPr>
        <w:t xml:space="preserve">translation and interpretation fees, </w:t>
      </w:r>
    </w:p>
    <w:p w:rsidR="008C0353" w:rsidRPr="00360B0B" w:rsidRDefault="005F7FD8" w:rsidP="00424F6F">
      <w:pPr>
        <w:pStyle w:val="Default"/>
        <w:numPr>
          <w:ilvl w:val="0"/>
          <w:numId w:val="5"/>
        </w:numPr>
        <w:rPr>
          <w:lang w:val="en-US"/>
        </w:rPr>
      </w:pPr>
      <w:r w:rsidRPr="00360B0B">
        <w:rPr>
          <w:lang w:val="en-US"/>
        </w:rPr>
        <w:t xml:space="preserve">travel expenses, </w:t>
      </w:r>
      <w:r w:rsidR="008D33FF">
        <w:rPr>
          <w:lang w:val="en-US"/>
        </w:rPr>
        <w:t xml:space="preserve">excluding for international travel, </w:t>
      </w:r>
      <w:r w:rsidRPr="00360B0B">
        <w:rPr>
          <w:lang w:val="en-US"/>
        </w:rPr>
        <w:t>using lowest fares possible but not exceeding full fare economy class</w:t>
      </w:r>
    </w:p>
    <w:p w:rsidR="00424F6F" w:rsidRPr="00360B0B" w:rsidRDefault="00424F6F" w:rsidP="00424F6F">
      <w:pPr>
        <w:pStyle w:val="Default"/>
        <w:numPr>
          <w:ilvl w:val="0"/>
          <w:numId w:val="5"/>
        </w:numPr>
        <w:rPr>
          <w:lang w:val="en-US"/>
        </w:rPr>
      </w:pPr>
      <w:r w:rsidRPr="00360B0B">
        <w:rPr>
          <w:lang w:val="en-US"/>
        </w:rPr>
        <w:t xml:space="preserve">lease or rental of vehicles, </w:t>
      </w:r>
    </w:p>
    <w:p w:rsidR="00424F6F" w:rsidRPr="00360B0B" w:rsidRDefault="00424F6F" w:rsidP="008C0353">
      <w:pPr>
        <w:pStyle w:val="Default"/>
        <w:numPr>
          <w:ilvl w:val="0"/>
          <w:numId w:val="5"/>
        </w:numPr>
        <w:rPr>
          <w:lang w:val="en-US"/>
        </w:rPr>
      </w:pPr>
      <w:r w:rsidRPr="00360B0B">
        <w:rPr>
          <w:lang w:val="en-US"/>
        </w:rPr>
        <w:t xml:space="preserve">vehicle and equipment operation, installation and/or maintenance, </w:t>
      </w:r>
    </w:p>
    <w:p w:rsidR="00424F6F" w:rsidRPr="00360B0B" w:rsidRDefault="00424F6F" w:rsidP="008C0353">
      <w:pPr>
        <w:pStyle w:val="Default"/>
        <w:numPr>
          <w:ilvl w:val="0"/>
          <w:numId w:val="5"/>
        </w:numPr>
        <w:rPr>
          <w:lang w:val="en-US"/>
        </w:rPr>
      </w:pPr>
      <w:r w:rsidRPr="00360B0B">
        <w:rPr>
          <w:lang w:val="en-US"/>
        </w:rPr>
        <w:lastRenderedPageBreak/>
        <w:t xml:space="preserve">website development and related costs, </w:t>
      </w:r>
    </w:p>
    <w:p w:rsidR="00360B0B" w:rsidRPr="00061035" w:rsidRDefault="00424F6F" w:rsidP="00424F6F">
      <w:pPr>
        <w:pStyle w:val="Default"/>
        <w:numPr>
          <w:ilvl w:val="0"/>
          <w:numId w:val="5"/>
        </w:numPr>
        <w:rPr>
          <w:lang w:val="en-US"/>
        </w:rPr>
      </w:pPr>
      <w:proofErr w:type="gramStart"/>
      <w:r w:rsidRPr="00360B0B">
        <w:rPr>
          <w:lang w:val="en-US"/>
        </w:rPr>
        <w:t>miscellaneous</w:t>
      </w:r>
      <w:proofErr w:type="gramEnd"/>
      <w:r w:rsidRPr="00360B0B">
        <w:rPr>
          <w:lang w:val="en-US"/>
        </w:rPr>
        <w:t xml:space="preserve"> expenses integral to the project.</w:t>
      </w:r>
    </w:p>
    <w:p w:rsidR="00BB692A" w:rsidRDefault="00BB692A" w:rsidP="00424F6F">
      <w:pPr>
        <w:autoSpaceDE w:val="0"/>
        <w:autoSpaceDN w:val="0"/>
        <w:adjustRightInd w:val="0"/>
        <w:spacing w:after="0" w:line="240" w:lineRule="auto"/>
        <w:rPr>
          <w:rFonts w:ascii="Times New Roman" w:hAnsi="Times New Roman" w:cs="Times New Roman"/>
          <w:b/>
          <w:color w:val="000000"/>
          <w:sz w:val="24"/>
          <w:szCs w:val="24"/>
          <w:lang w:val="en-US"/>
        </w:rPr>
      </w:pPr>
    </w:p>
    <w:p w:rsidR="00424F6F" w:rsidRPr="00360B0B" w:rsidRDefault="004A1D03" w:rsidP="00424F6F">
      <w:pPr>
        <w:autoSpaceDE w:val="0"/>
        <w:autoSpaceDN w:val="0"/>
        <w:adjustRightInd w:val="0"/>
        <w:spacing w:after="0" w:line="240" w:lineRule="auto"/>
        <w:rPr>
          <w:rFonts w:ascii="Times New Roman" w:hAnsi="Times New Roman" w:cs="Times New Roman"/>
          <w:color w:val="000000"/>
          <w:sz w:val="24"/>
          <w:szCs w:val="24"/>
          <w:lang w:val="en-US"/>
        </w:rPr>
      </w:pPr>
      <w:r w:rsidRPr="00360B0B">
        <w:rPr>
          <w:rFonts w:ascii="Times New Roman" w:hAnsi="Times New Roman" w:cs="Times New Roman"/>
          <w:b/>
          <w:color w:val="000000"/>
          <w:sz w:val="24"/>
          <w:szCs w:val="24"/>
          <w:lang w:val="en-US"/>
        </w:rPr>
        <w:t xml:space="preserve">The following costs are </w:t>
      </w:r>
      <w:r w:rsidRPr="00360B0B">
        <w:rPr>
          <w:rFonts w:ascii="Times New Roman" w:hAnsi="Times New Roman" w:cs="Times New Roman"/>
          <w:b/>
          <w:color w:val="000000"/>
          <w:sz w:val="24"/>
          <w:szCs w:val="24"/>
          <w:u w:val="single"/>
          <w:lang w:val="en-US"/>
        </w:rPr>
        <w:t>not eligible</w:t>
      </w:r>
      <w:r w:rsidRPr="00360B0B">
        <w:rPr>
          <w:rFonts w:ascii="Times New Roman" w:hAnsi="Times New Roman" w:cs="Times New Roman"/>
          <w:b/>
          <w:color w:val="000000"/>
          <w:sz w:val="24"/>
          <w:szCs w:val="24"/>
          <w:lang w:val="en-US"/>
        </w:rPr>
        <w:t xml:space="preserve"> for CFLI funding</w:t>
      </w:r>
      <w:r w:rsidR="00424F6F" w:rsidRPr="00360B0B">
        <w:rPr>
          <w:rFonts w:ascii="Times New Roman" w:hAnsi="Times New Roman" w:cs="Times New Roman"/>
          <w:color w:val="000000"/>
          <w:sz w:val="24"/>
          <w:szCs w:val="24"/>
          <w:lang w:val="en-US"/>
        </w:rPr>
        <w:t xml:space="preserve">: </w:t>
      </w:r>
    </w:p>
    <w:p w:rsidR="008C0353" w:rsidRPr="00360B0B" w:rsidRDefault="008C0353" w:rsidP="00424F6F">
      <w:pPr>
        <w:autoSpaceDE w:val="0"/>
        <w:autoSpaceDN w:val="0"/>
        <w:adjustRightInd w:val="0"/>
        <w:spacing w:after="0" w:line="240" w:lineRule="auto"/>
        <w:rPr>
          <w:rFonts w:ascii="Times New Roman" w:hAnsi="Times New Roman" w:cs="Times New Roman"/>
          <w:color w:val="000000"/>
          <w:sz w:val="24"/>
          <w:szCs w:val="24"/>
          <w:lang w:val="en-US"/>
        </w:rPr>
      </w:pPr>
    </w:p>
    <w:p w:rsidR="00424F6F" w:rsidRPr="00360B0B" w:rsidRDefault="00424F6F" w:rsidP="008C0353">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lang w:val="en-US"/>
        </w:rPr>
      </w:pPr>
      <w:r w:rsidRPr="00360B0B">
        <w:rPr>
          <w:rFonts w:ascii="Times New Roman" w:hAnsi="Times New Roman" w:cs="Times New Roman"/>
          <w:color w:val="000000"/>
          <w:sz w:val="24"/>
          <w:szCs w:val="24"/>
          <w:lang w:val="en-US"/>
        </w:rPr>
        <w:t xml:space="preserve">nuclear technologies and facilities, </w:t>
      </w:r>
    </w:p>
    <w:p w:rsidR="00424F6F" w:rsidRPr="00360B0B" w:rsidRDefault="00424F6F" w:rsidP="008C0353">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lang w:val="en-US"/>
        </w:rPr>
      </w:pPr>
      <w:r w:rsidRPr="00360B0B">
        <w:rPr>
          <w:rFonts w:ascii="Times New Roman" w:hAnsi="Times New Roman" w:cs="Times New Roman"/>
          <w:color w:val="000000"/>
          <w:sz w:val="24"/>
          <w:szCs w:val="24"/>
          <w:lang w:val="en-US"/>
        </w:rPr>
        <w:t xml:space="preserve">assistance to military or paramilitary organizations, </w:t>
      </w:r>
    </w:p>
    <w:p w:rsidR="00424F6F" w:rsidRPr="00360B0B" w:rsidRDefault="00424F6F" w:rsidP="008C0353">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lang w:val="en-US"/>
        </w:rPr>
      </w:pPr>
      <w:r w:rsidRPr="00360B0B">
        <w:rPr>
          <w:rFonts w:ascii="Times New Roman" w:hAnsi="Times New Roman" w:cs="Times New Roman"/>
          <w:color w:val="000000"/>
          <w:sz w:val="24"/>
          <w:szCs w:val="24"/>
          <w:lang w:val="en-US"/>
        </w:rPr>
        <w:t xml:space="preserve">gifts, </w:t>
      </w:r>
    </w:p>
    <w:p w:rsidR="00424F6F" w:rsidRPr="00360B0B" w:rsidRDefault="00424F6F" w:rsidP="008C0353">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lang w:val="en-US"/>
        </w:rPr>
      </w:pPr>
      <w:r w:rsidRPr="00360B0B">
        <w:rPr>
          <w:rFonts w:ascii="Times New Roman" w:hAnsi="Times New Roman" w:cs="Times New Roman"/>
          <w:color w:val="000000"/>
          <w:sz w:val="24"/>
          <w:szCs w:val="24"/>
          <w:lang w:val="en-US"/>
        </w:rPr>
        <w:t xml:space="preserve">luxury goods, </w:t>
      </w:r>
    </w:p>
    <w:p w:rsidR="00424F6F" w:rsidRPr="00360B0B" w:rsidRDefault="00424F6F" w:rsidP="008C0353">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lang w:val="en-US"/>
        </w:rPr>
      </w:pPr>
      <w:r w:rsidRPr="00360B0B">
        <w:rPr>
          <w:rFonts w:ascii="Times New Roman" w:hAnsi="Times New Roman" w:cs="Times New Roman"/>
          <w:color w:val="000000"/>
          <w:sz w:val="24"/>
          <w:szCs w:val="24"/>
          <w:lang w:val="en-US"/>
        </w:rPr>
        <w:t xml:space="preserve">direct fiscal support to a government, </w:t>
      </w:r>
    </w:p>
    <w:p w:rsidR="00424F6F" w:rsidRDefault="00424F6F" w:rsidP="008C0353">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lang w:val="en-US"/>
        </w:rPr>
      </w:pPr>
      <w:r w:rsidRPr="00360B0B">
        <w:rPr>
          <w:rFonts w:ascii="Times New Roman" w:hAnsi="Times New Roman" w:cs="Times New Roman"/>
          <w:color w:val="000000"/>
          <w:sz w:val="24"/>
          <w:szCs w:val="24"/>
          <w:lang w:val="en-US"/>
        </w:rPr>
        <w:t xml:space="preserve">core funding or recurrent costs of an organization, </w:t>
      </w:r>
    </w:p>
    <w:p w:rsidR="008D33FF" w:rsidRDefault="008D33FF" w:rsidP="008C0353">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international travel, (limited cross-border travel within a region could be considered on an exceptional basis),</w:t>
      </w:r>
    </w:p>
    <w:p w:rsidR="008D33FF" w:rsidRPr="00360B0B" w:rsidRDefault="008D33FF" w:rsidP="008C0353">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revolving funds, (that is, funds used to advance loans to individuals, i.e. microfinance),</w:t>
      </w:r>
    </w:p>
    <w:p w:rsidR="00424F6F" w:rsidRPr="00360B0B" w:rsidRDefault="00424F6F" w:rsidP="008C0353">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lang w:val="en-US"/>
        </w:rPr>
      </w:pPr>
      <w:proofErr w:type="gramStart"/>
      <w:r w:rsidRPr="00360B0B">
        <w:rPr>
          <w:rFonts w:ascii="Times New Roman" w:hAnsi="Times New Roman" w:cs="Times New Roman"/>
          <w:color w:val="000000"/>
          <w:sz w:val="24"/>
          <w:szCs w:val="24"/>
          <w:lang w:val="en-US"/>
        </w:rPr>
        <w:t>expenses</w:t>
      </w:r>
      <w:proofErr w:type="gramEnd"/>
      <w:r w:rsidRPr="00360B0B">
        <w:rPr>
          <w:rFonts w:ascii="Times New Roman" w:hAnsi="Times New Roman" w:cs="Times New Roman"/>
          <w:color w:val="000000"/>
          <w:sz w:val="24"/>
          <w:szCs w:val="24"/>
          <w:lang w:val="en-US"/>
        </w:rPr>
        <w:t xml:space="preserve"> incurred prior to the signing of the contribution agreement. </w:t>
      </w:r>
    </w:p>
    <w:p w:rsidR="00501AE5" w:rsidRPr="00360B0B" w:rsidRDefault="00501AE5">
      <w:pPr>
        <w:rPr>
          <w:rFonts w:ascii="Times New Roman" w:hAnsi="Times New Roman" w:cs="Times New Roman"/>
          <w:sz w:val="24"/>
          <w:szCs w:val="24"/>
          <w:lang w:val="en-US"/>
        </w:rPr>
      </w:pPr>
    </w:p>
    <w:p w:rsidR="006C19C7" w:rsidRPr="00360B0B" w:rsidRDefault="006C19C7" w:rsidP="0073024D">
      <w:pPr>
        <w:spacing w:after="0"/>
        <w:jc w:val="both"/>
        <w:rPr>
          <w:rFonts w:ascii="Times New Roman" w:hAnsi="Times New Roman" w:cs="Times New Roman"/>
          <w:color w:val="000000"/>
          <w:sz w:val="24"/>
          <w:szCs w:val="24"/>
          <w:lang w:val="en-US"/>
        </w:rPr>
      </w:pPr>
    </w:p>
    <w:p w:rsidR="0073024D" w:rsidRPr="003D3690" w:rsidRDefault="0073024D" w:rsidP="005473B8">
      <w:pPr>
        <w:spacing w:after="0"/>
        <w:jc w:val="both"/>
        <w:rPr>
          <w:rFonts w:ascii="Times New Roman" w:hAnsi="Times New Roman" w:cs="Times New Roman"/>
          <w:i/>
          <w:color w:val="000000"/>
          <w:sz w:val="24"/>
          <w:szCs w:val="24"/>
          <w:lang w:val="en-US"/>
        </w:rPr>
      </w:pPr>
      <w:r w:rsidRPr="003D3690">
        <w:rPr>
          <w:rFonts w:ascii="Times New Roman" w:hAnsi="Times New Roman" w:cs="Times New Roman"/>
          <w:i/>
          <w:color w:val="000000"/>
          <w:sz w:val="24"/>
          <w:szCs w:val="24"/>
          <w:lang w:val="en-US"/>
        </w:rPr>
        <w:t xml:space="preserve">For questions regarding the application and submission process, please contact the Embassy of Canada at </w:t>
      </w:r>
      <w:hyperlink r:id="rId10" w:history="1">
        <w:r w:rsidRPr="003D3690">
          <w:rPr>
            <w:rStyle w:val="Hyperlink"/>
            <w:rFonts w:ascii="Times New Roman" w:hAnsi="Times New Roman" w:cs="Times New Roman"/>
            <w:i/>
            <w:color w:val="auto"/>
            <w:sz w:val="24"/>
            <w:szCs w:val="24"/>
            <w:lang w:val="en-US"/>
          </w:rPr>
          <w:t>ASTNAGR2@international.gc.ca</w:t>
        </w:r>
      </w:hyperlink>
    </w:p>
    <w:p w:rsidR="00BD49FA" w:rsidRPr="0073024D" w:rsidRDefault="00BD49FA" w:rsidP="005473B8">
      <w:pPr>
        <w:spacing w:after="0"/>
        <w:jc w:val="both"/>
        <w:rPr>
          <w:rFonts w:ascii="Times New Roman" w:hAnsi="Times New Roman" w:cs="Times New Roman"/>
          <w:sz w:val="24"/>
          <w:szCs w:val="24"/>
          <w:lang w:val="en-CA"/>
        </w:rPr>
      </w:pPr>
    </w:p>
    <w:p w:rsidR="006C19C7" w:rsidRPr="00360B0B" w:rsidRDefault="006C19C7" w:rsidP="005473B8">
      <w:pPr>
        <w:autoSpaceDE w:val="0"/>
        <w:autoSpaceDN w:val="0"/>
        <w:adjustRightInd w:val="0"/>
        <w:spacing w:after="0" w:line="240" w:lineRule="auto"/>
        <w:rPr>
          <w:rFonts w:ascii="Times New Roman" w:hAnsi="Times New Roman" w:cs="Times New Roman"/>
          <w:color w:val="000000"/>
          <w:sz w:val="24"/>
          <w:szCs w:val="24"/>
          <w:lang w:val="en-CA"/>
        </w:rPr>
      </w:pPr>
    </w:p>
    <w:p w:rsidR="0073024D" w:rsidRDefault="008A0575" w:rsidP="005473B8">
      <w:pPr>
        <w:autoSpaceDE w:val="0"/>
        <w:autoSpaceDN w:val="0"/>
        <w:adjustRightInd w:val="0"/>
        <w:spacing w:after="0" w:line="240" w:lineRule="auto"/>
        <w:rPr>
          <w:rFonts w:ascii="Times New Roman" w:hAnsi="Times New Roman" w:cs="Times New Roman"/>
          <w:color w:val="000000"/>
          <w:sz w:val="24"/>
          <w:szCs w:val="24"/>
          <w:lang w:val="en-US"/>
        </w:rPr>
      </w:pPr>
      <w:r w:rsidRPr="00360B0B">
        <w:rPr>
          <w:rFonts w:ascii="Times New Roman" w:hAnsi="Times New Roman" w:cs="Times New Roman"/>
          <w:b/>
          <w:color w:val="000000"/>
          <w:sz w:val="24"/>
          <w:szCs w:val="24"/>
          <w:lang w:val="en-US"/>
        </w:rPr>
        <w:t>Embassy of Canada</w:t>
      </w:r>
      <w:r w:rsidRPr="00360B0B">
        <w:rPr>
          <w:rFonts w:ascii="Times New Roman" w:hAnsi="Times New Roman" w:cs="Times New Roman"/>
          <w:color w:val="000000"/>
          <w:sz w:val="24"/>
          <w:szCs w:val="24"/>
          <w:lang w:val="en-US"/>
        </w:rPr>
        <w:t> </w:t>
      </w:r>
      <w:r w:rsidRPr="00360B0B">
        <w:rPr>
          <w:rFonts w:ascii="Times New Roman" w:hAnsi="Times New Roman" w:cs="Times New Roman"/>
          <w:color w:val="000000"/>
          <w:sz w:val="24"/>
          <w:szCs w:val="24"/>
          <w:lang w:val="en-US"/>
        </w:rPr>
        <w:br/>
        <w:t xml:space="preserve">Rue </w:t>
      </w:r>
      <w:proofErr w:type="spellStart"/>
      <w:r w:rsidRPr="00360B0B">
        <w:rPr>
          <w:rFonts w:ascii="Times New Roman" w:hAnsi="Times New Roman" w:cs="Times New Roman"/>
          <w:color w:val="000000"/>
          <w:sz w:val="24"/>
          <w:szCs w:val="24"/>
          <w:lang w:val="en-US"/>
        </w:rPr>
        <w:t>Kabanbay</w:t>
      </w:r>
      <w:proofErr w:type="spellEnd"/>
      <w:r w:rsidR="00F408A8" w:rsidRPr="000346D5">
        <w:rPr>
          <w:rFonts w:ascii="Times New Roman" w:hAnsi="Times New Roman" w:cs="Times New Roman"/>
          <w:color w:val="000000"/>
          <w:sz w:val="24"/>
          <w:szCs w:val="24"/>
          <w:lang w:val="en-US"/>
        </w:rPr>
        <w:t xml:space="preserve"> </w:t>
      </w:r>
      <w:proofErr w:type="spellStart"/>
      <w:r w:rsidRPr="00360B0B">
        <w:rPr>
          <w:rFonts w:ascii="Times New Roman" w:hAnsi="Times New Roman" w:cs="Times New Roman"/>
          <w:color w:val="000000"/>
          <w:sz w:val="24"/>
          <w:szCs w:val="24"/>
          <w:lang w:val="en-US"/>
        </w:rPr>
        <w:t>Batyr</w:t>
      </w:r>
      <w:proofErr w:type="spellEnd"/>
      <w:r w:rsidR="0073024D">
        <w:rPr>
          <w:rFonts w:ascii="Times New Roman" w:hAnsi="Times New Roman" w:cs="Times New Roman"/>
          <w:color w:val="000000"/>
          <w:sz w:val="24"/>
          <w:szCs w:val="24"/>
          <w:lang w:val="en-US"/>
        </w:rPr>
        <w:t xml:space="preserve"> Street 13/1</w:t>
      </w:r>
      <w:r w:rsidRPr="00360B0B">
        <w:rPr>
          <w:rFonts w:ascii="Times New Roman" w:hAnsi="Times New Roman" w:cs="Times New Roman"/>
          <w:color w:val="000000"/>
          <w:sz w:val="24"/>
          <w:szCs w:val="24"/>
          <w:lang w:val="en-US"/>
        </w:rPr>
        <w:t xml:space="preserve"> </w:t>
      </w:r>
    </w:p>
    <w:p w:rsidR="009373A5" w:rsidRPr="00360B0B" w:rsidRDefault="008A0575" w:rsidP="005473B8">
      <w:pPr>
        <w:autoSpaceDE w:val="0"/>
        <w:autoSpaceDN w:val="0"/>
        <w:adjustRightInd w:val="0"/>
        <w:spacing w:after="0" w:line="240" w:lineRule="auto"/>
        <w:rPr>
          <w:rFonts w:ascii="Times New Roman" w:hAnsi="Times New Roman" w:cs="Times New Roman"/>
          <w:color w:val="000000"/>
          <w:sz w:val="24"/>
          <w:szCs w:val="24"/>
          <w:lang w:val="en-US"/>
        </w:rPr>
      </w:pPr>
      <w:r w:rsidRPr="00360B0B">
        <w:rPr>
          <w:rFonts w:ascii="Times New Roman" w:hAnsi="Times New Roman" w:cs="Times New Roman"/>
          <w:color w:val="000000"/>
          <w:sz w:val="24"/>
          <w:szCs w:val="24"/>
          <w:lang w:val="en-US"/>
        </w:rPr>
        <w:t>Astana, 010000, Kazakhstan</w:t>
      </w:r>
    </w:p>
    <w:p w:rsidR="00FB3BAD" w:rsidRPr="003D3690" w:rsidRDefault="00FB3BAD" w:rsidP="00FB3BAD">
      <w:pPr>
        <w:spacing w:after="0"/>
        <w:rPr>
          <w:rStyle w:val="Hyperlink"/>
          <w:rFonts w:ascii="Times New Roman" w:hAnsi="Times New Roman" w:cs="Times New Roman"/>
          <w:color w:val="auto"/>
          <w:sz w:val="24"/>
          <w:szCs w:val="24"/>
          <w:u w:val="none"/>
          <w:lang w:val="en-US"/>
        </w:rPr>
      </w:pPr>
      <w:hyperlink r:id="rId11" w:history="1">
        <w:r w:rsidRPr="003D3690">
          <w:rPr>
            <w:rStyle w:val="Hyperlink"/>
            <w:rFonts w:ascii="Times New Roman" w:hAnsi="Times New Roman" w:cs="Times New Roman"/>
            <w:color w:val="auto"/>
            <w:sz w:val="24"/>
            <w:szCs w:val="24"/>
            <w:u w:val="none"/>
            <w:lang w:val="en-US"/>
          </w:rPr>
          <w:t>www</w:t>
        </w:r>
        <w:r w:rsidRPr="003D3690">
          <w:rPr>
            <w:rStyle w:val="Hyperlink"/>
            <w:rFonts w:ascii="Times New Roman" w:hAnsi="Times New Roman" w:cs="Times New Roman"/>
            <w:color w:val="auto"/>
            <w:sz w:val="24"/>
            <w:szCs w:val="24"/>
            <w:u w:val="none"/>
          </w:rPr>
          <w:t>.</w:t>
        </w:r>
        <w:r w:rsidRPr="003D3690">
          <w:rPr>
            <w:rStyle w:val="Hyperlink"/>
            <w:rFonts w:ascii="Times New Roman" w:hAnsi="Times New Roman" w:cs="Times New Roman"/>
            <w:color w:val="auto"/>
            <w:sz w:val="24"/>
            <w:szCs w:val="24"/>
            <w:u w:val="none"/>
            <w:lang w:val="en-US"/>
          </w:rPr>
          <w:t>kazakhstan</w:t>
        </w:r>
        <w:r w:rsidRPr="003D3690">
          <w:rPr>
            <w:rStyle w:val="Hyperlink"/>
            <w:rFonts w:ascii="Times New Roman" w:hAnsi="Times New Roman" w:cs="Times New Roman"/>
            <w:color w:val="auto"/>
            <w:sz w:val="24"/>
            <w:szCs w:val="24"/>
            <w:u w:val="none"/>
          </w:rPr>
          <w:t>.</w:t>
        </w:r>
        <w:proofErr w:type="spellStart"/>
        <w:r w:rsidRPr="003D3690">
          <w:rPr>
            <w:rStyle w:val="Hyperlink"/>
            <w:rFonts w:ascii="Times New Roman" w:hAnsi="Times New Roman" w:cs="Times New Roman"/>
            <w:color w:val="auto"/>
            <w:sz w:val="24"/>
            <w:szCs w:val="24"/>
            <w:u w:val="none"/>
            <w:lang w:val="en-US"/>
          </w:rPr>
          <w:t>gc</w:t>
        </w:r>
        <w:proofErr w:type="spellEnd"/>
        <w:r w:rsidRPr="003D3690">
          <w:rPr>
            <w:rStyle w:val="Hyperlink"/>
            <w:rFonts w:ascii="Times New Roman" w:hAnsi="Times New Roman" w:cs="Times New Roman"/>
            <w:color w:val="auto"/>
            <w:sz w:val="24"/>
            <w:szCs w:val="24"/>
            <w:u w:val="none"/>
          </w:rPr>
          <w:t>.</w:t>
        </w:r>
        <w:r w:rsidRPr="003D3690">
          <w:rPr>
            <w:rStyle w:val="Hyperlink"/>
            <w:rFonts w:ascii="Times New Roman" w:hAnsi="Times New Roman" w:cs="Times New Roman"/>
            <w:color w:val="auto"/>
            <w:sz w:val="24"/>
            <w:szCs w:val="24"/>
            <w:u w:val="none"/>
            <w:lang w:val="en-US"/>
          </w:rPr>
          <w:t>ca</w:t>
        </w:r>
      </w:hyperlink>
    </w:p>
    <w:p w:rsidR="0073024D" w:rsidRDefault="0073024D" w:rsidP="005473B8">
      <w:pPr>
        <w:autoSpaceDE w:val="0"/>
        <w:autoSpaceDN w:val="0"/>
        <w:adjustRightInd w:val="0"/>
        <w:spacing w:after="0" w:line="240" w:lineRule="auto"/>
        <w:rPr>
          <w:rStyle w:val="Hyperlink"/>
          <w:rFonts w:ascii="Times New Roman" w:hAnsi="Times New Roman" w:cs="Times New Roman"/>
          <w:sz w:val="24"/>
          <w:szCs w:val="24"/>
          <w:lang w:val="en-US"/>
        </w:rPr>
      </w:pPr>
    </w:p>
    <w:p w:rsidR="00FB3BAD" w:rsidRDefault="0073024D" w:rsidP="00FB3BAD">
      <w:pPr>
        <w:spacing w:after="0"/>
        <w:rPr>
          <w:rFonts w:ascii="Calibri" w:eastAsia="Calibri" w:hAnsi="Calibri" w:cs="Times New Roman"/>
          <w:color w:val="1F497D"/>
          <w:sz w:val="24"/>
          <w:szCs w:val="24"/>
          <w:lang w:val="en-CA"/>
        </w:rPr>
      </w:pPr>
      <w:r w:rsidRPr="00FB3BAD">
        <w:rPr>
          <w:noProof/>
          <w:lang w:val="en-CA" w:eastAsia="en-CA"/>
        </w:rPr>
        <w:drawing>
          <wp:inline distT="0" distB="0" distL="0" distR="0" wp14:anchorId="42D365C7" wp14:editId="42F44B73">
            <wp:extent cx="284671" cy="284671"/>
            <wp:effectExtent l="0" t="0" r="1270" b="1270"/>
            <wp:docPr id="4" name="Picture 4" descr="C:\Users\firksets\Desktop\Social Media misc\Twi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irksets\Desktop\Social Media misc\Twitter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671" cy="284671"/>
                    </a:xfrm>
                    <a:prstGeom prst="rect">
                      <a:avLst/>
                    </a:prstGeom>
                    <a:noFill/>
                    <a:ln>
                      <a:noFill/>
                    </a:ln>
                  </pic:spPr>
                </pic:pic>
              </a:graphicData>
            </a:graphic>
          </wp:inline>
        </w:drawing>
      </w:r>
      <w:r w:rsidRPr="00FB3BAD">
        <w:rPr>
          <w:lang w:val="en-CA"/>
        </w:rPr>
        <w:t xml:space="preserve">  </w:t>
      </w:r>
      <w:hyperlink r:id="rId13" w:history="1">
        <w:proofErr w:type="spellStart"/>
        <w:r w:rsidRPr="00FB3BAD">
          <w:rPr>
            <w:rStyle w:val="Hyperlink"/>
            <w:rFonts w:ascii="Calibri" w:eastAsia="Calibri" w:hAnsi="Calibri" w:cs="Arial"/>
            <w:color w:val="auto"/>
            <w:sz w:val="24"/>
            <w:szCs w:val="24"/>
            <w:lang w:val="kk-KZ"/>
          </w:rPr>
          <w:t>@CanEmbKZ</w:t>
        </w:r>
        <w:proofErr w:type="spellEnd"/>
      </w:hyperlink>
      <w:r w:rsidRPr="00FB3BAD">
        <w:rPr>
          <w:rFonts w:ascii="Calibri" w:eastAsia="Calibri" w:hAnsi="Calibri" w:cs="Times New Roman"/>
          <w:sz w:val="24"/>
          <w:szCs w:val="24"/>
          <w:lang w:val="kk-KZ"/>
        </w:rPr>
        <w:t xml:space="preserve"> </w:t>
      </w:r>
      <w:r w:rsidRPr="00FB3BAD">
        <w:rPr>
          <w:rFonts w:ascii="Calibri" w:eastAsia="Calibri" w:hAnsi="Calibri" w:cs="Arial"/>
          <w:sz w:val="24"/>
          <w:szCs w:val="24"/>
          <w:lang w:val="kk-KZ"/>
        </w:rPr>
        <w:t xml:space="preserve">/ </w:t>
      </w:r>
      <w:hyperlink r:id="rId14" w:history="1">
        <w:proofErr w:type="spellStart"/>
        <w:r w:rsidRPr="00FB3BAD">
          <w:rPr>
            <w:rStyle w:val="Hyperlink"/>
            <w:rFonts w:ascii="Calibri" w:eastAsia="Calibri" w:hAnsi="Calibri" w:cs="Arial"/>
            <w:color w:val="auto"/>
            <w:sz w:val="24"/>
            <w:szCs w:val="24"/>
            <w:lang w:val="kk-KZ"/>
          </w:rPr>
          <w:t>@AmbCanKZ</w:t>
        </w:r>
        <w:proofErr w:type="spellEnd"/>
      </w:hyperlink>
      <w:r w:rsidR="00FB3BAD" w:rsidRPr="00FB3BAD">
        <w:rPr>
          <w:rFonts w:ascii="Calibri" w:eastAsia="Calibri" w:hAnsi="Calibri" w:cs="Times New Roman"/>
          <w:sz w:val="24"/>
          <w:szCs w:val="24"/>
          <w:lang w:val="en-CA"/>
        </w:rPr>
        <w:tab/>
      </w:r>
      <w:r w:rsidR="00FB3BAD" w:rsidRPr="00FB3BAD">
        <w:rPr>
          <w:noProof/>
          <w:lang w:val="en-CA" w:eastAsia="en-CA"/>
        </w:rPr>
        <w:drawing>
          <wp:inline distT="0" distB="0" distL="0" distR="0" wp14:anchorId="417F0E64" wp14:editId="4257E7F9">
            <wp:extent cx="276045" cy="276045"/>
            <wp:effectExtent l="0" t="0" r="0" b="0"/>
            <wp:docPr id="5" name="Picture 5" descr="C:\Users\firksets\Desktop\Social Media misc\faceboo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irksets\Desktop\Social Media misc\facebook 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040" cy="276040"/>
                    </a:xfrm>
                    <a:prstGeom prst="rect">
                      <a:avLst/>
                    </a:prstGeom>
                    <a:noFill/>
                    <a:ln>
                      <a:noFill/>
                    </a:ln>
                  </pic:spPr>
                </pic:pic>
              </a:graphicData>
            </a:graphic>
          </wp:inline>
        </w:drawing>
      </w:r>
      <w:r w:rsidR="00FB3BAD">
        <w:rPr>
          <w:rFonts w:ascii="Calibri" w:eastAsia="Calibri" w:hAnsi="Calibri" w:cs="Times New Roman"/>
          <w:sz w:val="24"/>
          <w:szCs w:val="24"/>
          <w:lang w:val="en-CA"/>
        </w:rPr>
        <w:t xml:space="preserve">  </w:t>
      </w:r>
      <w:hyperlink r:id="rId16" w:history="1">
        <w:proofErr w:type="spellStart"/>
        <w:r w:rsidR="00FB3BAD" w:rsidRPr="00FB3BAD">
          <w:rPr>
            <w:rStyle w:val="Hyperlink"/>
            <w:rFonts w:ascii="Calibri" w:eastAsia="Calibri" w:hAnsi="Calibri" w:cs="Arial"/>
            <w:color w:val="auto"/>
            <w:sz w:val="24"/>
            <w:szCs w:val="24"/>
            <w:lang w:val="kk-KZ"/>
          </w:rPr>
          <w:t>@CanadainKazakhstan</w:t>
        </w:r>
        <w:proofErr w:type="spellEnd"/>
      </w:hyperlink>
      <w:r w:rsidR="00FB3BAD" w:rsidRPr="00FB3BAD">
        <w:rPr>
          <w:rFonts w:ascii="Calibri" w:eastAsia="Calibri" w:hAnsi="Calibri" w:cs="Arial"/>
          <w:sz w:val="24"/>
          <w:szCs w:val="24"/>
          <w:lang w:val="kk-KZ"/>
        </w:rPr>
        <w:t xml:space="preserve"> / </w:t>
      </w:r>
      <w:hyperlink r:id="rId17" w:history="1">
        <w:proofErr w:type="spellStart"/>
        <w:r w:rsidR="00FB3BAD" w:rsidRPr="00FB3BAD">
          <w:rPr>
            <w:rStyle w:val="Hyperlink"/>
            <w:rFonts w:ascii="Calibri" w:eastAsia="Calibri" w:hAnsi="Calibri" w:cs="Arial"/>
            <w:color w:val="auto"/>
            <w:sz w:val="24"/>
            <w:szCs w:val="24"/>
            <w:lang w:val="kk-KZ"/>
          </w:rPr>
          <w:t>@CanadaauKazakhstan</w:t>
        </w:r>
        <w:proofErr w:type="spellEnd"/>
      </w:hyperlink>
    </w:p>
    <w:p w:rsidR="00FB3BAD" w:rsidRPr="0073024D" w:rsidRDefault="00FB3BAD" w:rsidP="00FB3BAD">
      <w:pPr>
        <w:spacing w:after="0"/>
        <w:rPr>
          <w:rFonts w:ascii="Calibri" w:eastAsia="Calibri" w:hAnsi="Calibri" w:cs="Arial"/>
          <w:color w:val="1F497D"/>
          <w:sz w:val="24"/>
          <w:szCs w:val="24"/>
          <w:lang w:val="en-CA"/>
        </w:rPr>
      </w:pPr>
    </w:p>
    <w:p w:rsidR="0073024D" w:rsidRDefault="0073024D" w:rsidP="0073024D">
      <w:pPr>
        <w:spacing w:after="0"/>
        <w:rPr>
          <w:rFonts w:ascii="Calibri" w:eastAsia="Calibri" w:hAnsi="Calibri" w:cs="Times New Roman"/>
          <w:color w:val="1F497D"/>
          <w:sz w:val="24"/>
          <w:szCs w:val="24"/>
          <w:lang w:val="en-CA"/>
        </w:rPr>
      </w:pPr>
    </w:p>
    <w:p w:rsidR="0073024D" w:rsidRPr="0073024D" w:rsidRDefault="0073024D" w:rsidP="0073024D">
      <w:pPr>
        <w:spacing w:after="0"/>
        <w:rPr>
          <w:rFonts w:ascii="Calibri" w:eastAsia="Calibri" w:hAnsi="Calibri" w:cs="Arial"/>
          <w:color w:val="1F497D"/>
          <w:sz w:val="24"/>
          <w:szCs w:val="24"/>
          <w:lang w:val="en-CA"/>
        </w:rPr>
      </w:pPr>
    </w:p>
    <w:p w:rsidR="0073024D" w:rsidRPr="0073024D" w:rsidRDefault="0073024D" w:rsidP="0073024D">
      <w:pPr>
        <w:spacing w:after="0"/>
        <w:rPr>
          <w:rFonts w:ascii="Calibri" w:eastAsia="Calibri" w:hAnsi="Calibri" w:cs="Arial"/>
          <w:color w:val="1F497D"/>
          <w:sz w:val="24"/>
          <w:szCs w:val="24"/>
          <w:lang w:val="en-CA"/>
        </w:rPr>
      </w:pPr>
      <w:r>
        <w:rPr>
          <w:lang w:val="en-CA"/>
        </w:rPr>
        <w:t xml:space="preserve">  </w:t>
      </w:r>
    </w:p>
    <w:p w:rsidR="006C19C7" w:rsidRPr="0073024D" w:rsidRDefault="006C19C7" w:rsidP="005473B8">
      <w:pPr>
        <w:autoSpaceDE w:val="0"/>
        <w:autoSpaceDN w:val="0"/>
        <w:adjustRightInd w:val="0"/>
        <w:spacing w:after="0" w:line="240" w:lineRule="auto"/>
        <w:rPr>
          <w:sz w:val="24"/>
          <w:szCs w:val="24"/>
        </w:rPr>
      </w:pPr>
      <w:bookmarkStart w:id="0" w:name="_GoBack"/>
      <w:bookmarkEnd w:id="0"/>
    </w:p>
    <w:sectPr w:rsidR="006C19C7" w:rsidRPr="0073024D" w:rsidSect="0073024D">
      <w:headerReference w:type="default" r:id="rId18"/>
      <w:pgSz w:w="11906" w:h="16838"/>
      <w:pgMar w:top="84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B39" w:rsidRDefault="00341B39" w:rsidP="00F00D1F">
      <w:pPr>
        <w:spacing w:after="0" w:line="240" w:lineRule="auto"/>
      </w:pPr>
      <w:r>
        <w:separator/>
      </w:r>
    </w:p>
  </w:endnote>
  <w:endnote w:type="continuationSeparator" w:id="0">
    <w:p w:rsidR="00341B39" w:rsidRDefault="00341B39" w:rsidP="00F0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B39" w:rsidRDefault="00341B39" w:rsidP="00F00D1F">
      <w:pPr>
        <w:spacing w:after="0" w:line="240" w:lineRule="auto"/>
      </w:pPr>
      <w:r>
        <w:separator/>
      </w:r>
    </w:p>
  </w:footnote>
  <w:footnote w:type="continuationSeparator" w:id="0">
    <w:p w:rsidR="00341B39" w:rsidRDefault="00341B39" w:rsidP="00F00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1F" w:rsidRDefault="0073024D">
    <w:pPr>
      <w:pStyle w:val="Header"/>
    </w:pPr>
    <w:bookmarkStart w:id="1" w:name="LetterheadHere"/>
    <w:r>
      <w:rPr>
        <w:noProof/>
      </w:rPr>
      <w:drawing>
        <wp:inline distT="0" distB="0" distL="0" distR="0" wp14:anchorId="2985CA68" wp14:editId="0CB2C3C3">
          <wp:extent cx="5489449" cy="80162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89449" cy="801624"/>
                  </a:xfrm>
                  <a:prstGeom prst="rect">
                    <a:avLst/>
                  </a:prstGeom>
                </pic:spPr>
              </pic:pic>
            </a:graphicData>
          </a:graphic>
        </wp:inline>
      </w:drawing>
    </w:r>
    <w:bookmarkEnd w:id="1"/>
  </w:p>
  <w:p w:rsidR="00F00D1F" w:rsidRDefault="00F00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3E7"/>
    <w:multiLevelType w:val="hybridMultilevel"/>
    <w:tmpl w:val="F01C1800"/>
    <w:lvl w:ilvl="0" w:tplc="5DB8CF64">
      <w:start w:val="1"/>
      <w:numFmt w:val="low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2411B4B"/>
    <w:multiLevelType w:val="hybridMultilevel"/>
    <w:tmpl w:val="AF54B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EE4832"/>
    <w:multiLevelType w:val="hybridMultilevel"/>
    <w:tmpl w:val="AEF451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553B0B"/>
    <w:multiLevelType w:val="multilevel"/>
    <w:tmpl w:val="A748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627CF"/>
    <w:multiLevelType w:val="hybridMultilevel"/>
    <w:tmpl w:val="ED28D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7F06E7"/>
    <w:multiLevelType w:val="hybridMultilevel"/>
    <w:tmpl w:val="E8BAD6AE"/>
    <w:lvl w:ilvl="0" w:tplc="FC90BB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87118C"/>
    <w:multiLevelType w:val="hybridMultilevel"/>
    <w:tmpl w:val="F4BC56F8"/>
    <w:lvl w:ilvl="0" w:tplc="FC68DE4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0AF3FE6"/>
    <w:multiLevelType w:val="hybridMultilevel"/>
    <w:tmpl w:val="12B61B2C"/>
    <w:lvl w:ilvl="0" w:tplc="10090001">
      <w:start w:val="1"/>
      <w:numFmt w:val="bullet"/>
      <w:lvlText w:val=""/>
      <w:lvlJc w:val="left"/>
      <w:pPr>
        <w:ind w:left="780" w:hanging="720"/>
      </w:pPr>
      <w:rPr>
        <w:rFonts w:ascii="Symbol" w:hAnsi="Symbol"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4C2326C0"/>
    <w:multiLevelType w:val="hybridMultilevel"/>
    <w:tmpl w:val="94945956"/>
    <w:lvl w:ilvl="0" w:tplc="04190013">
      <w:start w:val="1"/>
      <w:numFmt w:val="upperRoman"/>
      <w:lvlText w:val="%1."/>
      <w:lvlJc w:val="righ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4EB779AE"/>
    <w:multiLevelType w:val="hybridMultilevel"/>
    <w:tmpl w:val="C784CA9C"/>
    <w:lvl w:ilvl="0" w:tplc="6A3E6D98">
      <w:numFmt w:val="bullet"/>
      <w:lvlText w:val=""/>
      <w:lvlJc w:val="left"/>
      <w:pPr>
        <w:ind w:left="720" w:hanging="360"/>
      </w:pPr>
      <w:rPr>
        <w:rFonts w:ascii="Symbol" w:eastAsiaTheme="minorHAnsi"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677FAB"/>
    <w:multiLevelType w:val="hybridMultilevel"/>
    <w:tmpl w:val="320C4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D67F84"/>
    <w:multiLevelType w:val="hybridMultilevel"/>
    <w:tmpl w:val="177C79B6"/>
    <w:lvl w:ilvl="0" w:tplc="CB38B5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697B4E"/>
    <w:multiLevelType w:val="hybridMultilevel"/>
    <w:tmpl w:val="1D92B1D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nsid w:val="57FF0FBF"/>
    <w:multiLevelType w:val="hybridMultilevel"/>
    <w:tmpl w:val="FC481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DC51D9C"/>
    <w:multiLevelType w:val="hybridMultilevel"/>
    <w:tmpl w:val="66FEB5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629B1287"/>
    <w:multiLevelType w:val="hybridMultilevel"/>
    <w:tmpl w:val="DC544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3C38B9"/>
    <w:multiLevelType w:val="hybridMultilevel"/>
    <w:tmpl w:val="B5EEFC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0714A2"/>
    <w:multiLevelType w:val="hybridMultilevel"/>
    <w:tmpl w:val="6D4A2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C661DF"/>
    <w:multiLevelType w:val="hybridMultilevel"/>
    <w:tmpl w:val="0226C70E"/>
    <w:lvl w:ilvl="0" w:tplc="6A3E6D98">
      <w:numFmt w:val="bullet"/>
      <w:lvlText w:val=""/>
      <w:lvlJc w:val="left"/>
      <w:pPr>
        <w:ind w:left="720" w:hanging="360"/>
      </w:pPr>
      <w:rPr>
        <w:rFonts w:ascii="Symbol" w:eastAsiaTheme="minorHAnsi"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5"/>
  </w:num>
  <w:num w:numId="5">
    <w:abstractNumId w:val="17"/>
  </w:num>
  <w:num w:numId="6">
    <w:abstractNumId w:val="16"/>
  </w:num>
  <w:num w:numId="7">
    <w:abstractNumId w:val="11"/>
  </w:num>
  <w:num w:numId="8">
    <w:abstractNumId w:val="2"/>
  </w:num>
  <w:num w:numId="9">
    <w:abstractNumId w:val="15"/>
  </w:num>
  <w:num w:numId="10">
    <w:abstractNumId w:val="4"/>
  </w:num>
  <w:num w:numId="11">
    <w:abstractNumId w:val="6"/>
  </w:num>
  <w:num w:numId="12">
    <w:abstractNumId w:val="13"/>
  </w:num>
  <w:num w:numId="13">
    <w:abstractNumId w:val="1"/>
  </w:num>
  <w:num w:numId="14">
    <w:abstractNumId w:val="14"/>
  </w:num>
  <w:num w:numId="15">
    <w:abstractNumId w:val="8"/>
  </w:num>
  <w:num w:numId="16">
    <w:abstractNumId w:val="0"/>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74"/>
    <w:rsid w:val="00001B48"/>
    <w:rsid w:val="00002B51"/>
    <w:rsid w:val="00012BE0"/>
    <w:rsid w:val="000244D5"/>
    <w:rsid w:val="000346D5"/>
    <w:rsid w:val="00061035"/>
    <w:rsid w:val="00081E59"/>
    <w:rsid w:val="00085906"/>
    <w:rsid w:val="00091BC4"/>
    <w:rsid w:val="00094ECB"/>
    <w:rsid w:val="000C72A2"/>
    <w:rsid w:val="000F1927"/>
    <w:rsid w:val="00112D21"/>
    <w:rsid w:val="001130A7"/>
    <w:rsid w:val="00115C93"/>
    <w:rsid w:val="001240AE"/>
    <w:rsid w:val="001347E5"/>
    <w:rsid w:val="00162651"/>
    <w:rsid w:val="00173F4F"/>
    <w:rsid w:val="00183613"/>
    <w:rsid w:val="00184618"/>
    <w:rsid w:val="00190B03"/>
    <w:rsid w:val="0019404F"/>
    <w:rsid w:val="001A04D7"/>
    <w:rsid w:val="001D57B5"/>
    <w:rsid w:val="001E2AAB"/>
    <w:rsid w:val="001E31FF"/>
    <w:rsid w:val="001F4362"/>
    <w:rsid w:val="001F451A"/>
    <w:rsid w:val="001F4AB4"/>
    <w:rsid w:val="00203FBC"/>
    <w:rsid w:val="00226C39"/>
    <w:rsid w:val="00233B59"/>
    <w:rsid w:val="00262D3B"/>
    <w:rsid w:val="002816CD"/>
    <w:rsid w:val="002965CD"/>
    <w:rsid w:val="002A63C9"/>
    <w:rsid w:val="002B2BB3"/>
    <w:rsid w:val="002C49AC"/>
    <w:rsid w:val="002D3B3B"/>
    <w:rsid w:val="00341B39"/>
    <w:rsid w:val="00360B0B"/>
    <w:rsid w:val="0038000C"/>
    <w:rsid w:val="003B1040"/>
    <w:rsid w:val="003B3A51"/>
    <w:rsid w:val="003D3690"/>
    <w:rsid w:val="003E38AB"/>
    <w:rsid w:val="003F41C6"/>
    <w:rsid w:val="00424F6F"/>
    <w:rsid w:val="00472060"/>
    <w:rsid w:val="00495F57"/>
    <w:rsid w:val="004A1D03"/>
    <w:rsid w:val="004A33A7"/>
    <w:rsid w:val="004A74B9"/>
    <w:rsid w:val="004C25AC"/>
    <w:rsid w:val="004D5590"/>
    <w:rsid w:val="00501AE5"/>
    <w:rsid w:val="00524A21"/>
    <w:rsid w:val="00535664"/>
    <w:rsid w:val="00541426"/>
    <w:rsid w:val="00546921"/>
    <w:rsid w:val="005473B8"/>
    <w:rsid w:val="00547E1A"/>
    <w:rsid w:val="00556B77"/>
    <w:rsid w:val="00557FDD"/>
    <w:rsid w:val="005661F2"/>
    <w:rsid w:val="00586C7B"/>
    <w:rsid w:val="005F7FD8"/>
    <w:rsid w:val="00606794"/>
    <w:rsid w:val="00623BC0"/>
    <w:rsid w:val="0066187A"/>
    <w:rsid w:val="0068086D"/>
    <w:rsid w:val="00684FBF"/>
    <w:rsid w:val="00694B2A"/>
    <w:rsid w:val="006A08F7"/>
    <w:rsid w:val="006C19C7"/>
    <w:rsid w:val="006E4A14"/>
    <w:rsid w:val="00700341"/>
    <w:rsid w:val="0073024D"/>
    <w:rsid w:val="00731840"/>
    <w:rsid w:val="00791C31"/>
    <w:rsid w:val="007C45E2"/>
    <w:rsid w:val="007D31D3"/>
    <w:rsid w:val="007D7B29"/>
    <w:rsid w:val="007F5234"/>
    <w:rsid w:val="00826886"/>
    <w:rsid w:val="008404C7"/>
    <w:rsid w:val="0084516C"/>
    <w:rsid w:val="00874674"/>
    <w:rsid w:val="008A0575"/>
    <w:rsid w:val="008A2A59"/>
    <w:rsid w:val="008C0353"/>
    <w:rsid w:val="008C2A8B"/>
    <w:rsid w:val="008C59B7"/>
    <w:rsid w:val="008D33FF"/>
    <w:rsid w:val="008E1C56"/>
    <w:rsid w:val="008E4960"/>
    <w:rsid w:val="00927182"/>
    <w:rsid w:val="00935E45"/>
    <w:rsid w:val="009373A5"/>
    <w:rsid w:val="009636F4"/>
    <w:rsid w:val="0097056C"/>
    <w:rsid w:val="009931C4"/>
    <w:rsid w:val="009C3F46"/>
    <w:rsid w:val="00A26847"/>
    <w:rsid w:val="00A563CA"/>
    <w:rsid w:val="00A7106C"/>
    <w:rsid w:val="00A85D8D"/>
    <w:rsid w:val="00A9336A"/>
    <w:rsid w:val="00AB70A8"/>
    <w:rsid w:val="00AD7851"/>
    <w:rsid w:val="00B4620F"/>
    <w:rsid w:val="00BB692A"/>
    <w:rsid w:val="00BD1538"/>
    <w:rsid w:val="00BD49FA"/>
    <w:rsid w:val="00BD659F"/>
    <w:rsid w:val="00BE117B"/>
    <w:rsid w:val="00BE532B"/>
    <w:rsid w:val="00C07BC1"/>
    <w:rsid w:val="00C42E39"/>
    <w:rsid w:val="00C64938"/>
    <w:rsid w:val="00C836AB"/>
    <w:rsid w:val="00CE0562"/>
    <w:rsid w:val="00D3069C"/>
    <w:rsid w:val="00D8313A"/>
    <w:rsid w:val="00D87D17"/>
    <w:rsid w:val="00DE30AD"/>
    <w:rsid w:val="00DE32F6"/>
    <w:rsid w:val="00DE39BE"/>
    <w:rsid w:val="00E0053D"/>
    <w:rsid w:val="00E80DD4"/>
    <w:rsid w:val="00E92189"/>
    <w:rsid w:val="00EB6693"/>
    <w:rsid w:val="00EB70FB"/>
    <w:rsid w:val="00F00D1F"/>
    <w:rsid w:val="00F1364B"/>
    <w:rsid w:val="00F36C5D"/>
    <w:rsid w:val="00F408A8"/>
    <w:rsid w:val="00F628E3"/>
    <w:rsid w:val="00F63449"/>
    <w:rsid w:val="00F64262"/>
    <w:rsid w:val="00F671A5"/>
    <w:rsid w:val="00F73C1C"/>
    <w:rsid w:val="00FB3BAD"/>
    <w:rsid w:val="00FC588E"/>
    <w:rsid w:val="00FD63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AE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C0353"/>
    <w:pPr>
      <w:ind w:left="720"/>
      <w:contextualSpacing/>
    </w:pPr>
  </w:style>
  <w:style w:type="paragraph" w:styleId="Header">
    <w:name w:val="header"/>
    <w:basedOn w:val="Normal"/>
    <w:link w:val="HeaderChar"/>
    <w:uiPriority w:val="99"/>
    <w:unhideWhenUsed/>
    <w:rsid w:val="00F00D1F"/>
    <w:pPr>
      <w:tabs>
        <w:tab w:val="center" w:pos="4677"/>
        <w:tab w:val="right" w:pos="9355"/>
      </w:tabs>
      <w:spacing w:after="0" w:line="240" w:lineRule="auto"/>
    </w:pPr>
  </w:style>
  <w:style w:type="character" w:customStyle="1" w:styleId="HeaderChar">
    <w:name w:val="Header Char"/>
    <w:basedOn w:val="DefaultParagraphFont"/>
    <w:link w:val="Header"/>
    <w:uiPriority w:val="99"/>
    <w:rsid w:val="00F00D1F"/>
  </w:style>
  <w:style w:type="paragraph" w:styleId="Footer">
    <w:name w:val="footer"/>
    <w:basedOn w:val="Normal"/>
    <w:link w:val="FooterChar"/>
    <w:uiPriority w:val="99"/>
    <w:unhideWhenUsed/>
    <w:rsid w:val="00F00D1F"/>
    <w:pPr>
      <w:tabs>
        <w:tab w:val="center" w:pos="4677"/>
        <w:tab w:val="right" w:pos="9355"/>
      </w:tabs>
      <w:spacing w:after="0" w:line="240" w:lineRule="auto"/>
    </w:pPr>
  </w:style>
  <w:style w:type="character" w:customStyle="1" w:styleId="FooterChar">
    <w:name w:val="Footer Char"/>
    <w:basedOn w:val="DefaultParagraphFont"/>
    <w:link w:val="Footer"/>
    <w:uiPriority w:val="99"/>
    <w:rsid w:val="00F00D1F"/>
  </w:style>
  <w:style w:type="paragraph" w:styleId="BalloonText">
    <w:name w:val="Balloon Text"/>
    <w:basedOn w:val="Normal"/>
    <w:link w:val="BalloonTextChar"/>
    <w:uiPriority w:val="99"/>
    <w:semiHidden/>
    <w:unhideWhenUsed/>
    <w:rsid w:val="00F00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D1F"/>
    <w:rPr>
      <w:rFonts w:ascii="Tahoma" w:hAnsi="Tahoma" w:cs="Tahoma"/>
      <w:sz w:val="16"/>
      <w:szCs w:val="16"/>
    </w:rPr>
  </w:style>
  <w:style w:type="character" w:styleId="Hyperlink">
    <w:name w:val="Hyperlink"/>
    <w:basedOn w:val="DefaultParagraphFont"/>
    <w:rsid w:val="006C19C7"/>
    <w:rPr>
      <w:color w:val="0000FF"/>
      <w:u w:val="single"/>
    </w:rPr>
  </w:style>
  <w:style w:type="character" w:styleId="CommentReference">
    <w:name w:val="annotation reference"/>
    <w:basedOn w:val="DefaultParagraphFont"/>
    <w:uiPriority w:val="99"/>
    <w:semiHidden/>
    <w:unhideWhenUsed/>
    <w:rsid w:val="00EB6693"/>
    <w:rPr>
      <w:sz w:val="16"/>
      <w:szCs w:val="16"/>
    </w:rPr>
  </w:style>
  <w:style w:type="paragraph" w:styleId="CommentText">
    <w:name w:val="annotation text"/>
    <w:basedOn w:val="Normal"/>
    <w:link w:val="CommentTextChar"/>
    <w:uiPriority w:val="99"/>
    <w:semiHidden/>
    <w:unhideWhenUsed/>
    <w:rsid w:val="00EB6693"/>
    <w:pPr>
      <w:spacing w:line="240" w:lineRule="auto"/>
    </w:pPr>
    <w:rPr>
      <w:sz w:val="20"/>
      <w:szCs w:val="20"/>
    </w:rPr>
  </w:style>
  <w:style w:type="character" w:customStyle="1" w:styleId="CommentTextChar">
    <w:name w:val="Comment Text Char"/>
    <w:basedOn w:val="DefaultParagraphFont"/>
    <w:link w:val="CommentText"/>
    <w:uiPriority w:val="99"/>
    <w:semiHidden/>
    <w:rsid w:val="00EB6693"/>
    <w:rPr>
      <w:sz w:val="20"/>
      <w:szCs w:val="20"/>
    </w:rPr>
  </w:style>
  <w:style w:type="paragraph" w:styleId="CommentSubject">
    <w:name w:val="annotation subject"/>
    <w:basedOn w:val="CommentText"/>
    <w:next w:val="CommentText"/>
    <w:link w:val="CommentSubjectChar"/>
    <w:uiPriority w:val="99"/>
    <w:semiHidden/>
    <w:unhideWhenUsed/>
    <w:rsid w:val="00EB6693"/>
    <w:rPr>
      <w:b/>
      <w:bCs/>
    </w:rPr>
  </w:style>
  <w:style w:type="character" w:customStyle="1" w:styleId="CommentSubjectChar">
    <w:name w:val="Comment Subject Char"/>
    <w:basedOn w:val="CommentTextChar"/>
    <w:link w:val="CommentSubject"/>
    <w:uiPriority w:val="99"/>
    <w:semiHidden/>
    <w:rsid w:val="00EB66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AE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C0353"/>
    <w:pPr>
      <w:ind w:left="720"/>
      <w:contextualSpacing/>
    </w:pPr>
  </w:style>
  <w:style w:type="paragraph" w:styleId="Header">
    <w:name w:val="header"/>
    <w:basedOn w:val="Normal"/>
    <w:link w:val="HeaderChar"/>
    <w:uiPriority w:val="99"/>
    <w:unhideWhenUsed/>
    <w:rsid w:val="00F00D1F"/>
    <w:pPr>
      <w:tabs>
        <w:tab w:val="center" w:pos="4677"/>
        <w:tab w:val="right" w:pos="9355"/>
      </w:tabs>
      <w:spacing w:after="0" w:line="240" w:lineRule="auto"/>
    </w:pPr>
  </w:style>
  <w:style w:type="character" w:customStyle="1" w:styleId="HeaderChar">
    <w:name w:val="Header Char"/>
    <w:basedOn w:val="DefaultParagraphFont"/>
    <w:link w:val="Header"/>
    <w:uiPriority w:val="99"/>
    <w:rsid w:val="00F00D1F"/>
  </w:style>
  <w:style w:type="paragraph" w:styleId="Footer">
    <w:name w:val="footer"/>
    <w:basedOn w:val="Normal"/>
    <w:link w:val="FooterChar"/>
    <w:uiPriority w:val="99"/>
    <w:unhideWhenUsed/>
    <w:rsid w:val="00F00D1F"/>
    <w:pPr>
      <w:tabs>
        <w:tab w:val="center" w:pos="4677"/>
        <w:tab w:val="right" w:pos="9355"/>
      </w:tabs>
      <w:spacing w:after="0" w:line="240" w:lineRule="auto"/>
    </w:pPr>
  </w:style>
  <w:style w:type="character" w:customStyle="1" w:styleId="FooterChar">
    <w:name w:val="Footer Char"/>
    <w:basedOn w:val="DefaultParagraphFont"/>
    <w:link w:val="Footer"/>
    <w:uiPriority w:val="99"/>
    <w:rsid w:val="00F00D1F"/>
  </w:style>
  <w:style w:type="paragraph" w:styleId="BalloonText">
    <w:name w:val="Balloon Text"/>
    <w:basedOn w:val="Normal"/>
    <w:link w:val="BalloonTextChar"/>
    <w:uiPriority w:val="99"/>
    <w:semiHidden/>
    <w:unhideWhenUsed/>
    <w:rsid w:val="00F00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D1F"/>
    <w:rPr>
      <w:rFonts w:ascii="Tahoma" w:hAnsi="Tahoma" w:cs="Tahoma"/>
      <w:sz w:val="16"/>
      <w:szCs w:val="16"/>
    </w:rPr>
  </w:style>
  <w:style w:type="character" w:styleId="Hyperlink">
    <w:name w:val="Hyperlink"/>
    <w:basedOn w:val="DefaultParagraphFont"/>
    <w:rsid w:val="006C19C7"/>
    <w:rPr>
      <w:color w:val="0000FF"/>
      <w:u w:val="single"/>
    </w:rPr>
  </w:style>
  <w:style w:type="character" w:styleId="CommentReference">
    <w:name w:val="annotation reference"/>
    <w:basedOn w:val="DefaultParagraphFont"/>
    <w:uiPriority w:val="99"/>
    <w:semiHidden/>
    <w:unhideWhenUsed/>
    <w:rsid w:val="00EB6693"/>
    <w:rPr>
      <w:sz w:val="16"/>
      <w:szCs w:val="16"/>
    </w:rPr>
  </w:style>
  <w:style w:type="paragraph" w:styleId="CommentText">
    <w:name w:val="annotation text"/>
    <w:basedOn w:val="Normal"/>
    <w:link w:val="CommentTextChar"/>
    <w:uiPriority w:val="99"/>
    <w:semiHidden/>
    <w:unhideWhenUsed/>
    <w:rsid w:val="00EB6693"/>
    <w:pPr>
      <w:spacing w:line="240" w:lineRule="auto"/>
    </w:pPr>
    <w:rPr>
      <w:sz w:val="20"/>
      <w:szCs w:val="20"/>
    </w:rPr>
  </w:style>
  <w:style w:type="character" w:customStyle="1" w:styleId="CommentTextChar">
    <w:name w:val="Comment Text Char"/>
    <w:basedOn w:val="DefaultParagraphFont"/>
    <w:link w:val="CommentText"/>
    <w:uiPriority w:val="99"/>
    <w:semiHidden/>
    <w:rsid w:val="00EB6693"/>
    <w:rPr>
      <w:sz w:val="20"/>
      <w:szCs w:val="20"/>
    </w:rPr>
  </w:style>
  <w:style w:type="paragraph" w:styleId="CommentSubject">
    <w:name w:val="annotation subject"/>
    <w:basedOn w:val="CommentText"/>
    <w:next w:val="CommentText"/>
    <w:link w:val="CommentSubjectChar"/>
    <w:uiPriority w:val="99"/>
    <w:semiHidden/>
    <w:unhideWhenUsed/>
    <w:rsid w:val="00EB6693"/>
    <w:rPr>
      <w:b/>
      <w:bCs/>
    </w:rPr>
  </w:style>
  <w:style w:type="character" w:customStyle="1" w:styleId="CommentSubjectChar">
    <w:name w:val="Comment Subject Char"/>
    <w:basedOn w:val="CommentTextChar"/>
    <w:link w:val="CommentSubject"/>
    <w:uiPriority w:val="99"/>
    <w:semiHidden/>
    <w:rsid w:val="00EB66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62324">
      <w:bodyDiv w:val="1"/>
      <w:marLeft w:val="0"/>
      <w:marRight w:val="0"/>
      <w:marTop w:val="0"/>
      <w:marBottom w:val="0"/>
      <w:divBdr>
        <w:top w:val="none" w:sz="0" w:space="0" w:color="auto"/>
        <w:left w:val="none" w:sz="0" w:space="0" w:color="auto"/>
        <w:bottom w:val="none" w:sz="0" w:space="0" w:color="auto"/>
        <w:right w:val="none" w:sz="0" w:space="0" w:color="auto"/>
      </w:divBdr>
    </w:div>
    <w:div w:id="631058128">
      <w:bodyDiv w:val="1"/>
      <w:marLeft w:val="0"/>
      <w:marRight w:val="0"/>
      <w:marTop w:val="0"/>
      <w:marBottom w:val="0"/>
      <w:divBdr>
        <w:top w:val="none" w:sz="0" w:space="0" w:color="auto"/>
        <w:left w:val="none" w:sz="0" w:space="0" w:color="auto"/>
        <w:bottom w:val="none" w:sz="0" w:space="0" w:color="auto"/>
        <w:right w:val="none" w:sz="0" w:space="0" w:color="auto"/>
      </w:divBdr>
    </w:div>
    <w:div w:id="984548682">
      <w:bodyDiv w:val="1"/>
      <w:marLeft w:val="0"/>
      <w:marRight w:val="0"/>
      <w:marTop w:val="0"/>
      <w:marBottom w:val="0"/>
      <w:divBdr>
        <w:top w:val="none" w:sz="0" w:space="0" w:color="auto"/>
        <w:left w:val="none" w:sz="0" w:space="0" w:color="auto"/>
        <w:bottom w:val="none" w:sz="0" w:space="0" w:color="auto"/>
        <w:right w:val="none" w:sz="0" w:space="0" w:color="auto"/>
      </w:divBdr>
    </w:div>
    <w:div w:id="1186362820">
      <w:bodyDiv w:val="1"/>
      <w:marLeft w:val="0"/>
      <w:marRight w:val="0"/>
      <w:marTop w:val="0"/>
      <w:marBottom w:val="0"/>
      <w:divBdr>
        <w:top w:val="none" w:sz="0" w:space="0" w:color="auto"/>
        <w:left w:val="none" w:sz="0" w:space="0" w:color="auto"/>
        <w:bottom w:val="none" w:sz="0" w:space="0" w:color="auto"/>
        <w:right w:val="none" w:sz="0" w:space="0" w:color="auto"/>
      </w:divBdr>
    </w:div>
    <w:div w:id="1287544280">
      <w:bodyDiv w:val="1"/>
      <w:marLeft w:val="0"/>
      <w:marRight w:val="0"/>
      <w:marTop w:val="0"/>
      <w:marBottom w:val="0"/>
      <w:divBdr>
        <w:top w:val="none" w:sz="0" w:space="0" w:color="auto"/>
        <w:left w:val="none" w:sz="0" w:space="0" w:color="auto"/>
        <w:bottom w:val="none" w:sz="0" w:space="0" w:color="auto"/>
        <w:right w:val="none" w:sz="0" w:space="0" w:color="auto"/>
      </w:divBdr>
    </w:div>
    <w:div w:id="1505558955">
      <w:bodyDiv w:val="1"/>
      <w:marLeft w:val="0"/>
      <w:marRight w:val="0"/>
      <w:marTop w:val="0"/>
      <w:marBottom w:val="0"/>
      <w:divBdr>
        <w:top w:val="none" w:sz="0" w:space="0" w:color="auto"/>
        <w:left w:val="none" w:sz="0" w:space="0" w:color="auto"/>
        <w:bottom w:val="none" w:sz="0" w:space="0" w:color="auto"/>
        <w:right w:val="none" w:sz="0" w:space="0" w:color="auto"/>
      </w:divBdr>
    </w:div>
    <w:div w:id="164241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nda.com/lang/ru/currency/converter/" TargetMode="External"/><Relationship Id="rId13" Type="http://schemas.openxmlformats.org/officeDocument/2006/relationships/hyperlink" Target="https://twitter.com/CanEmbKZ"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facebook.com/CanadaauKazakhstan/?fref=ts" TargetMode="External"/><Relationship Id="rId2" Type="http://schemas.openxmlformats.org/officeDocument/2006/relationships/styles" Target="styles.xml"/><Relationship Id="rId16" Type="http://schemas.openxmlformats.org/officeDocument/2006/relationships/hyperlink" Target="https://www.facebook.com/CanadainKazakhstan/?fref=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zakhstan.gc.ca"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ASTNAGR2@international.gc.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TNAGR2@international.gc.ca" TargetMode="External"/><Relationship Id="rId14" Type="http://schemas.openxmlformats.org/officeDocument/2006/relationships/hyperlink" Target="https://twitter.com/AmbCan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tif"/></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Бумажная">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Бумажная">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1113</Words>
  <Characters>6349</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Pecora, Taryn -CFXL</cp:lastModifiedBy>
  <cp:revision>9</cp:revision>
  <cp:lastPrinted>2016-05-30T05:18:00Z</cp:lastPrinted>
  <dcterms:created xsi:type="dcterms:W3CDTF">2016-05-18T03:53:00Z</dcterms:created>
  <dcterms:modified xsi:type="dcterms:W3CDTF">2016-05-30T05:21:00Z</dcterms:modified>
</cp:coreProperties>
</file>